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E5E4" w14:textId="77777777" w:rsidR="004530D0" w:rsidRPr="00425766" w:rsidRDefault="004530D0" w:rsidP="004530D0">
      <w:pPr>
        <w:widowControl/>
        <w:tabs>
          <w:tab w:val="left" w:pos="1815"/>
          <w:tab w:val="left" w:pos="6799"/>
        </w:tabs>
        <w:jc w:val="center"/>
        <w:rPr>
          <w:rFonts w:eastAsia="Times New Roman"/>
          <w:b/>
          <w:kern w:val="0"/>
          <w:lang w:eastAsia="ar-SA"/>
        </w:rPr>
      </w:pPr>
      <w:r w:rsidRPr="00425766">
        <w:rPr>
          <w:rFonts w:eastAsia="Times New Roman"/>
          <w:b/>
          <w:noProof/>
          <w:kern w:val="0"/>
        </w:rPr>
        <w:drawing>
          <wp:inline distT="0" distB="0" distL="0" distR="0" wp14:anchorId="1EEA3021" wp14:editId="19452833">
            <wp:extent cx="676910" cy="810895"/>
            <wp:effectExtent l="0" t="0" r="8890"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 cy="810895"/>
                    </a:xfrm>
                    <a:prstGeom prst="rect">
                      <a:avLst/>
                    </a:prstGeom>
                    <a:noFill/>
                  </pic:spPr>
                </pic:pic>
              </a:graphicData>
            </a:graphic>
          </wp:inline>
        </w:drawing>
      </w:r>
    </w:p>
    <w:p w14:paraId="7A7F0902" w14:textId="77777777" w:rsidR="004530D0" w:rsidRPr="00425766" w:rsidRDefault="004530D0" w:rsidP="004530D0">
      <w:pPr>
        <w:widowControl/>
        <w:tabs>
          <w:tab w:val="left" w:pos="1815"/>
          <w:tab w:val="left" w:pos="6799"/>
        </w:tabs>
        <w:jc w:val="center"/>
        <w:rPr>
          <w:rFonts w:eastAsia="Times New Roman"/>
          <w:b/>
          <w:kern w:val="0"/>
          <w:lang w:eastAsia="ar-SA"/>
        </w:rPr>
      </w:pPr>
    </w:p>
    <w:p w14:paraId="76897FDF" w14:textId="77777777" w:rsidR="004530D0" w:rsidRPr="00425766" w:rsidRDefault="004530D0" w:rsidP="004530D0">
      <w:pPr>
        <w:widowControl/>
        <w:tabs>
          <w:tab w:val="left" w:pos="1815"/>
          <w:tab w:val="left" w:pos="6799"/>
        </w:tabs>
        <w:jc w:val="center"/>
        <w:rPr>
          <w:rFonts w:eastAsia="Times New Roman"/>
          <w:kern w:val="0"/>
          <w:lang w:eastAsia="ar-SA"/>
        </w:rPr>
      </w:pPr>
      <w:r w:rsidRPr="00425766">
        <w:rPr>
          <w:rFonts w:eastAsia="Times New Roman"/>
          <w:b/>
          <w:kern w:val="0"/>
          <w:lang w:eastAsia="ar-SA"/>
        </w:rPr>
        <w:t xml:space="preserve">Materiál  predkladaný na zasadnutie  </w:t>
      </w:r>
    </w:p>
    <w:p w14:paraId="13FB7F62" w14:textId="77777777" w:rsidR="004530D0" w:rsidRPr="00425766" w:rsidRDefault="004530D0" w:rsidP="004530D0">
      <w:pPr>
        <w:widowControl/>
        <w:pBdr>
          <w:bottom w:val="single" w:sz="8" w:space="1" w:color="000000"/>
        </w:pBdr>
        <w:tabs>
          <w:tab w:val="left" w:pos="1815"/>
          <w:tab w:val="left" w:pos="6799"/>
        </w:tabs>
        <w:jc w:val="center"/>
        <w:rPr>
          <w:rFonts w:eastAsia="Times New Roman"/>
          <w:b/>
          <w:kern w:val="0"/>
          <w:lang w:eastAsia="ar-SA"/>
        </w:rPr>
      </w:pPr>
      <w:r w:rsidRPr="00425766">
        <w:rPr>
          <w:rFonts w:eastAsia="Times New Roman"/>
          <w:b/>
          <w:kern w:val="0"/>
          <w:lang w:eastAsia="ar-SA"/>
        </w:rPr>
        <w:t>Mestského zastupiteľstva v Spišskej Belej</w:t>
      </w:r>
    </w:p>
    <w:p w14:paraId="32527F56" w14:textId="2B385A70" w:rsidR="004530D0" w:rsidRPr="00425766" w:rsidRDefault="004530D0" w:rsidP="004530D0">
      <w:pPr>
        <w:widowControl/>
        <w:pBdr>
          <w:bottom w:val="single" w:sz="8" w:space="1" w:color="000000"/>
        </w:pBdr>
        <w:tabs>
          <w:tab w:val="left" w:pos="1815"/>
          <w:tab w:val="left" w:pos="6799"/>
        </w:tabs>
        <w:jc w:val="center"/>
        <w:rPr>
          <w:rFonts w:eastAsia="Times New Roman"/>
          <w:b/>
          <w:kern w:val="0"/>
          <w:lang w:eastAsia="ar-SA"/>
        </w:rPr>
      </w:pPr>
      <w:r w:rsidRPr="00425766">
        <w:rPr>
          <w:rFonts w:eastAsia="Times New Roman"/>
          <w:b/>
          <w:kern w:val="0"/>
          <w:lang w:eastAsia="ar-SA"/>
        </w:rPr>
        <w:t xml:space="preserve">dňa </w:t>
      </w:r>
      <w:r>
        <w:rPr>
          <w:rFonts w:eastAsia="Times New Roman"/>
          <w:b/>
          <w:kern w:val="0"/>
          <w:lang w:eastAsia="ar-SA"/>
        </w:rPr>
        <w:t>11. decembra</w:t>
      </w:r>
      <w:r w:rsidRPr="00425766">
        <w:rPr>
          <w:rFonts w:eastAsia="Times New Roman"/>
          <w:b/>
          <w:kern w:val="0"/>
          <w:lang w:eastAsia="ar-SA"/>
        </w:rPr>
        <w:t xml:space="preserve"> 202</w:t>
      </w:r>
      <w:r>
        <w:rPr>
          <w:rFonts w:eastAsia="Times New Roman"/>
          <w:b/>
          <w:kern w:val="0"/>
          <w:lang w:eastAsia="ar-SA"/>
        </w:rPr>
        <w:t>4</w:t>
      </w:r>
    </w:p>
    <w:p w14:paraId="21EBCA94" w14:textId="77777777" w:rsidR="004530D0" w:rsidRPr="00425766" w:rsidRDefault="004530D0" w:rsidP="004530D0">
      <w:pPr>
        <w:widowControl/>
        <w:pBdr>
          <w:bottom w:val="single" w:sz="8" w:space="1" w:color="000000"/>
        </w:pBdr>
        <w:tabs>
          <w:tab w:val="left" w:pos="1815"/>
          <w:tab w:val="left" w:pos="6799"/>
        </w:tabs>
        <w:jc w:val="center"/>
        <w:rPr>
          <w:rFonts w:eastAsia="Times New Roman"/>
          <w:b/>
          <w:kern w:val="0"/>
          <w:lang w:eastAsia="ar-SA"/>
        </w:rPr>
      </w:pPr>
      <w:r w:rsidRPr="00425766">
        <w:rPr>
          <w:rFonts w:eastAsia="Times New Roman"/>
          <w:b/>
          <w:kern w:val="0"/>
          <w:lang w:eastAsia="ar-SA"/>
        </w:rPr>
        <w:t>___________________________________________________________________________</w:t>
      </w:r>
    </w:p>
    <w:p w14:paraId="6DC75C6A" w14:textId="77777777" w:rsidR="004530D0" w:rsidRPr="00425766" w:rsidRDefault="004530D0" w:rsidP="004530D0">
      <w:pPr>
        <w:widowControl/>
        <w:pBdr>
          <w:bottom w:val="single" w:sz="8" w:space="1" w:color="000000"/>
        </w:pBdr>
        <w:tabs>
          <w:tab w:val="left" w:pos="1815"/>
          <w:tab w:val="left" w:pos="6799"/>
        </w:tabs>
        <w:jc w:val="both"/>
        <w:rPr>
          <w:rFonts w:eastAsia="Times New Roman"/>
          <w:b/>
          <w:kern w:val="0"/>
          <w:lang w:eastAsia="ar-SA"/>
        </w:rPr>
      </w:pPr>
    </w:p>
    <w:tbl>
      <w:tblPr>
        <w:tblStyle w:val="Mriekatabuky"/>
        <w:tblW w:w="4994" w:type="pct"/>
        <w:tblInd w:w="-5" w:type="dxa"/>
        <w:tblLook w:val="04A0" w:firstRow="1" w:lastRow="0" w:firstColumn="1" w:lastColumn="0" w:noHBand="0" w:noVBand="1"/>
      </w:tblPr>
      <w:tblGrid>
        <w:gridCol w:w="3119"/>
        <w:gridCol w:w="5932"/>
      </w:tblGrid>
      <w:tr w:rsidR="004530D0" w:rsidRPr="00425766" w14:paraId="532B2E5F" w14:textId="77777777" w:rsidTr="002103BE">
        <w:tc>
          <w:tcPr>
            <w:tcW w:w="1723" w:type="pct"/>
          </w:tcPr>
          <w:p w14:paraId="143147BF"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Názov materiálu:</w:t>
            </w:r>
          </w:p>
        </w:tc>
        <w:tc>
          <w:tcPr>
            <w:tcW w:w="3277" w:type="pct"/>
          </w:tcPr>
          <w:p w14:paraId="419A19F7" w14:textId="2A914355" w:rsidR="004530D0" w:rsidRDefault="004530D0" w:rsidP="004530D0">
            <w:pPr>
              <w:tabs>
                <w:tab w:val="left" w:pos="495"/>
              </w:tabs>
              <w:jc w:val="both"/>
              <w:rPr>
                <w:rFonts w:eastAsia="Calibri"/>
              </w:rPr>
            </w:pPr>
            <w:r w:rsidRPr="00B6519C">
              <w:rPr>
                <w:rFonts w:eastAsia="Calibri"/>
              </w:rPr>
              <w:t>Správ</w:t>
            </w:r>
            <w:r>
              <w:rPr>
                <w:rFonts w:eastAsia="Calibri"/>
              </w:rPr>
              <w:t>a</w:t>
            </w:r>
            <w:r w:rsidRPr="00B6519C">
              <w:rPr>
                <w:rFonts w:eastAsia="Calibri"/>
              </w:rPr>
              <w:t xml:space="preserve"> o vykonan</w:t>
            </w:r>
            <w:r>
              <w:rPr>
                <w:rFonts w:eastAsia="Calibri"/>
              </w:rPr>
              <w:t>ých</w:t>
            </w:r>
            <w:r w:rsidRPr="00B6519C">
              <w:rPr>
                <w:rFonts w:eastAsia="Calibri"/>
              </w:rPr>
              <w:t xml:space="preserve"> kontrol</w:t>
            </w:r>
            <w:r>
              <w:rPr>
                <w:rFonts w:eastAsia="Calibri"/>
              </w:rPr>
              <w:t>ách:</w:t>
            </w:r>
            <w:r w:rsidRPr="00B6519C">
              <w:rPr>
                <w:rFonts w:eastAsia="Calibri"/>
              </w:rPr>
              <w:t xml:space="preserve"> </w:t>
            </w:r>
          </w:p>
          <w:p w14:paraId="65A66776" w14:textId="77777777" w:rsidR="004530D0" w:rsidRDefault="004530D0" w:rsidP="004530D0">
            <w:pPr>
              <w:pStyle w:val="Odsekzoznamu"/>
              <w:numPr>
                <w:ilvl w:val="0"/>
                <w:numId w:val="4"/>
              </w:numPr>
              <w:tabs>
                <w:tab w:val="left" w:pos="495"/>
              </w:tabs>
              <w:autoSpaceDN w:val="0"/>
              <w:textAlignment w:val="baseline"/>
              <w:rPr>
                <w:rFonts w:eastAsia="Calibri"/>
                <w:kern w:val="0"/>
                <w:lang w:eastAsia="en-US"/>
              </w:rPr>
            </w:pPr>
            <w:bookmarkStart w:id="0" w:name="_Hlk184586603"/>
            <w:r w:rsidRPr="00564B62">
              <w:rPr>
                <w:rFonts w:eastAsia="Andale Sans UI"/>
                <w:kern w:val="3"/>
                <w:lang w:val="en-US" w:eastAsia="ja-JP" w:bidi="fa-IR"/>
              </w:rPr>
              <w:t xml:space="preserve"> </w:t>
            </w:r>
            <w:r w:rsidRPr="00564B62">
              <w:rPr>
                <w:rFonts w:eastAsia="Calibri"/>
                <w:kern w:val="0"/>
                <w:lang w:eastAsia="en-US"/>
              </w:rPr>
              <w:t>stav</w:t>
            </w:r>
            <w:r>
              <w:rPr>
                <w:rFonts w:eastAsia="Calibri"/>
                <w:kern w:val="0"/>
                <w:lang w:eastAsia="en-US"/>
              </w:rPr>
              <w:t>u</w:t>
            </w:r>
            <w:r w:rsidRPr="00564B62">
              <w:rPr>
                <w:rFonts w:eastAsia="Calibri"/>
                <w:kern w:val="0"/>
                <w:lang w:eastAsia="en-US"/>
              </w:rPr>
              <w:t>, evidenci</w:t>
            </w:r>
            <w:r>
              <w:rPr>
                <w:rFonts w:eastAsia="Calibri"/>
                <w:kern w:val="0"/>
                <w:lang w:eastAsia="en-US"/>
              </w:rPr>
              <w:t>e</w:t>
            </w:r>
            <w:r w:rsidRPr="00564B62">
              <w:rPr>
                <w:rFonts w:eastAsia="Calibri"/>
                <w:kern w:val="0"/>
                <w:lang w:eastAsia="en-US"/>
              </w:rPr>
              <w:t xml:space="preserve"> a vymáhani</w:t>
            </w:r>
            <w:r>
              <w:rPr>
                <w:rFonts w:eastAsia="Calibri"/>
                <w:kern w:val="0"/>
                <w:lang w:eastAsia="en-US"/>
              </w:rPr>
              <w:t>a</w:t>
            </w:r>
            <w:r w:rsidRPr="00564B62">
              <w:rPr>
                <w:rFonts w:eastAsia="Calibri"/>
                <w:kern w:val="0"/>
                <w:lang w:eastAsia="en-US"/>
              </w:rPr>
              <w:t xml:space="preserve"> </w:t>
            </w:r>
            <w:r>
              <w:rPr>
                <w:rFonts w:eastAsia="Calibri"/>
                <w:kern w:val="0"/>
                <w:lang w:eastAsia="en-US"/>
              </w:rPr>
              <w:t xml:space="preserve">nájomného, záväzkov a pohľadávok v kapitole byty a nebytové priestory </w:t>
            </w:r>
            <w:r w:rsidRPr="00564B62">
              <w:rPr>
                <w:rFonts w:eastAsia="Calibri"/>
                <w:kern w:val="0"/>
                <w:lang w:eastAsia="en-US"/>
              </w:rPr>
              <w:t xml:space="preserve"> k  30. 9. 2024</w:t>
            </w:r>
          </w:p>
          <w:p w14:paraId="5277A614" w14:textId="4706A96C" w:rsidR="004530D0" w:rsidRPr="004978AE" w:rsidRDefault="007A293D" w:rsidP="004530D0">
            <w:pPr>
              <w:pStyle w:val="Odsekzoznamu"/>
              <w:numPr>
                <w:ilvl w:val="0"/>
                <w:numId w:val="4"/>
              </w:numPr>
              <w:tabs>
                <w:tab w:val="left" w:pos="495"/>
              </w:tabs>
              <w:autoSpaceDN w:val="0"/>
              <w:textAlignment w:val="baseline"/>
              <w:rPr>
                <w:rFonts w:eastAsia="Calibri"/>
                <w:kern w:val="0"/>
                <w:lang w:eastAsia="en-US"/>
              </w:rPr>
            </w:pPr>
            <w:bookmarkStart w:id="1" w:name="_Hlk184586537"/>
            <w:bookmarkEnd w:id="0"/>
            <w:r>
              <w:rPr>
                <w:rFonts w:eastAsia="Calibri"/>
                <w:kern w:val="0"/>
                <w:lang w:eastAsia="en-US"/>
              </w:rPr>
              <w:t>vykonávania základnej finančnej kontroly na objednávkach mesta k </w:t>
            </w:r>
            <w:r w:rsidR="00B374F1">
              <w:rPr>
                <w:rFonts w:eastAsia="Calibri"/>
                <w:kern w:val="0"/>
                <w:lang w:eastAsia="en-US"/>
              </w:rPr>
              <w:t>1</w:t>
            </w:r>
            <w:bookmarkStart w:id="2" w:name="_GoBack"/>
            <w:bookmarkEnd w:id="2"/>
            <w:r>
              <w:rPr>
                <w:rFonts w:eastAsia="Calibri"/>
                <w:kern w:val="0"/>
                <w:lang w:eastAsia="en-US"/>
              </w:rPr>
              <w:t>4. 10. 2024</w:t>
            </w:r>
            <w:bookmarkEnd w:id="1"/>
          </w:p>
        </w:tc>
      </w:tr>
      <w:tr w:rsidR="004530D0" w:rsidRPr="00425766" w14:paraId="40FCE2A0" w14:textId="77777777" w:rsidTr="002103BE">
        <w:tc>
          <w:tcPr>
            <w:tcW w:w="1723" w:type="pct"/>
          </w:tcPr>
          <w:p w14:paraId="3A9EDBF0"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Obsah materiálu: </w:t>
            </w:r>
          </w:p>
        </w:tc>
        <w:tc>
          <w:tcPr>
            <w:tcW w:w="3277" w:type="pct"/>
          </w:tcPr>
          <w:p w14:paraId="7B684F77" w14:textId="77777777" w:rsidR="004530D0" w:rsidRPr="00425766" w:rsidRDefault="004530D0" w:rsidP="002103BE">
            <w:pPr>
              <w:widowControl/>
              <w:numPr>
                <w:ilvl w:val="0"/>
                <w:numId w:val="1"/>
              </w:numPr>
              <w:suppressAutoHyphens w:val="0"/>
              <w:spacing w:line="256" w:lineRule="auto"/>
              <w:jc w:val="both"/>
              <w:rPr>
                <w:rFonts w:eastAsia="Calibri"/>
                <w:kern w:val="0"/>
                <w:lang w:eastAsia="en-US"/>
              </w:rPr>
            </w:pPr>
            <w:r w:rsidRPr="00425766">
              <w:rPr>
                <w:rFonts w:eastAsia="Calibri"/>
                <w:kern w:val="0"/>
                <w:lang w:eastAsia="en-US"/>
              </w:rPr>
              <w:t xml:space="preserve">Návrh na uznesenie </w:t>
            </w:r>
          </w:p>
          <w:p w14:paraId="6BBD7ACB" w14:textId="77777777" w:rsidR="004530D0" w:rsidRPr="00425766" w:rsidRDefault="004530D0" w:rsidP="002103BE">
            <w:pPr>
              <w:widowControl/>
              <w:numPr>
                <w:ilvl w:val="0"/>
                <w:numId w:val="1"/>
              </w:numPr>
              <w:suppressAutoHyphens w:val="0"/>
              <w:spacing w:line="256" w:lineRule="auto"/>
              <w:jc w:val="both"/>
              <w:rPr>
                <w:rFonts w:eastAsia="Calibri"/>
                <w:kern w:val="0"/>
                <w:lang w:eastAsia="en-US"/>
              </w:rPr>
            </w:pPr>
            <w:r w:rsidRPr="00425766">
              <w:rPr>
                <w:rFonts w:eastAsia="Calibri"/>
                <w:kern w:val="0"/>
                <w:lang w:eastAsia="en-US"/>
              </w:rPr>
              <w:t>Dôvodová správa</w:t>
            </w:r>
          </w:p>
          <w:p w14:paraId="5F1CB39B" w14:textId="77777777" w:rsidR="004530D0" w:rsidRPr="00425766" w:rsidRDefault="004530D0" w:rsidP="002103BE">
            <w:pPr>
              <w:widowControl/>
              <w:numPr>
                <w:ilvl w:val="0"/>
                <w:numId w:val="1"/>
              </w:numPr>
              <w:suppressAutoHyphens w:val="0"/>
              <w:spacing w:line="256" w:lineRule="auto"/>
              <w:jc w:val="both"/>
              <w:rPr>
                <w:rFonts w:eastAsia="Calibri"/>
                <w:kern w:val="0"/>
                <w:lang w:eastAsia="en-US"/>
              </w:rPr>
            </w:pPr>
            <w:r w:rsidRPr="00425766">
              <w:rPr>
                <w:rFonts w:eastAsia="Calibri"/>
                <w:kern w:val="0"/>
                <w:lang w:eastAsia="en-US"/>
              </w:rPr>
              <w:t>Správy z vykonaných kontrol</w:t>
            </w:r>
          </w:p>
          <w:p w14:paraId="6B2336DE" w14:textId="77777777" w:rsidR="004530D0" w:rsidRPr="00425766" w:rsidRDefault="004530D0" w:rsidP="002103BE">
            <w:pPr>
              <w:widowControl/>
              <w:suppressAutoHyphens w:val="0"/>
              <w:jc w:val="both"/>
              <w:rPr>
                <w:rFonts w:eastAsia="Calibri"/>
                <w:kern w:val="0"/>
                <w:lang w:eastAsia="en-US"/>
              </w:rPr>
            </w:pPr>
          </w:p>
        </w:tc>
      </w:tr>
      <w:tr w:rsidR="004530D0" w:rsidRPr="00425766" w14:paraId="126CB292" w14:textId="77777777" w:rsidTr="002103BE">
        <w:tc>
          <w:tcPr>
            <w:tcW w:w="1723" w:type="pct"/>
          </w:tcPr>
          <w:p w14:paraId="408EF741"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Návrh na uznesenie: </w:t>
            </w:r>
          </w:p>
        </w:tc>
        <w:tc>
          <w:tcPr>
            <w:tcW w:w="3277" w:type="pct"/>
          </w:tcPr>
          <w:p w14:paraId="47B05E5E"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Uznesenie č. ........./202</w:t>
            </w:r>
            <w:r>
              <w:rPr>
                <w:rFonts w:eastAsia="Calibri"/>
                <w:b/>
                <w:kern w:val="0"/>
                <w:lang w:eastAsia="en-US"/>
              </w:rPr>
              <w:t>4</w:t>
            </w:r>
          </w:p>
          <w:p w14:paraId="54210940" w14:textId="77777777" w:rsidR="004530D0" w:rsidRPr="00425766" w:rsidRDefault="004530D0" w:rsidP="002103BE">
            <w:pPr>
              <w:widowControl/>
              <w:suppressAutoHyphens w:val="0"/>
              <w:autoSpaceDE w:val="0"/>
              <w:autoSpaceDN w:val="0"/>
              <w:adjustRightInd w:val="0"/>
              <w:spacing w:line="259" w:lineRule="auto"/>
              <w:rPr>
                <w:rFonts w:eastAsiaTheme="minorHAnsi"/>
                <w:kern w:val="0"/>
                <w:lang w:eastAsia="en-US"/>
              </w:rPr>
            </w:pPr>
            <w:r w:rsidRPr="00425766">
              <w:rPr>
                <w:rFonts w:eastAsia="Calibri"/>
                <w:kern w:val="0"/>
                <w:lang w:eastAsia="en-US"/>
              </w:rPr>
              <w:t>Mestské   zastupiteľstvo   v    Spišskej   Belej</w:t>
            </w:r>
            <w:r w:rsidRPr="00425766">
              <w:rPr>
                <w:rFonts w:eastAsiaTheme="minorHAnsi"/>
                <w:kern w:val="0"/>
                <w:lang w:eastAsia="en-US"/>
              </w:rPr>
              <w:t xml:space="preserve">  berie na vedo</w:t>
            </w:r>
            <w:r>
              <w:rPr>
                <w:rFonts w:eastAsiaTheme="minorHAnsi"/>
                <w:kern w:val="0"/>
                <w:lang w:eastAsia="en-US"/>
              </w:rPr>
              <w:t xml:space="preserve">mie správu </w:t>
            </w:r>
            <w:r w:rsidRPr="00C94F7D">
              <w:t>o výsledk</w:t>
            </w:r>
            <w:r>
              <w:t>u</w:t>
            </w:r>
            <w:r w:rsidRPr="00C94F7D">
              <w:t xml:space="preserve"> kontrol</w:t>
            </w:r>
          </w:p>
        </w:tc>
      </w:tr>
      <w:tr w:rsidR="004530D0" w:rsidRPr="00425766" w14:paraId="2E8108AC" w14:textId="77777777" w:rsidTr="002103BE">
        <w:tc>
          <w:tcPr>
            <w:tcW w:w="1723" w:type="pct"/>
          </w:tcPr>
          <w:p w14:paraId="6F0B481A"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Stanovisko komisie: </w:t>
            </w:r>
          </w:p>
        </w:tc>
        <w:tc>
          <w:tcPr>
            <w:tcW w:w="3277" w:type="pct"/>
          </w:tcPr>
          <w:p w14:paraId="1EDA0F13" w14:textId="77777777" w:rsidR="004530D0" w:rsidRPr="00425766" w:rsidRDefault="004530D0" w:rsidP="002103BE">
            <w:pPr>
              <w:widowControl/>
              <w:suppressAutoHyphens w:val="0"/>
              <w:jc w:val="both"/>
              <w:rPr>
                <w:rFonts w:eastAsia="Calibri"/>
                <w:kern w:val="0"/>
                <w:lang w:eastAsia="en-US"/>
              </w:rPr>
            </w:pPr>
            <w:r w:rsidRPr="00425766">
              <w:rPr>
                <w:rFonts w:eastAsia="Calibri"/>
                <w:kern w:val="0"/>
                <w:lang w:eastAsia="en-US"/>
              </w:rPr>
              <w:t>-</w:t>
            </w:r>
          </w:p>
        </w:tc>
      </w:tr>
      <w:tr w:rsidR="004530D0" w:rsidRPr="00425766" w14:paraId="281FD9A4" w14:textId="77777777" w:rsidTr="002103BE">
        <w:tc>
          <w:tcPr>
            <w:tcW w:w="1723" w:type="pct"/>
          </w:tcPr>
          <w:p w14:paraId="27366DE0"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Spracovateľ materiálu: </w:t>
            </w:r>
          </w:p>
        </w:tc>
        <w:tc>
          <w:tcPr>
            <w:tcW w:w="3277" w:type="pct"/>
          </w:tcPr>
          <w:p w14:paraId="6E21F779" w14:textId="77777777" w:rsidR="004530D0" w:rsidRPr="00425766" w:rsidRDefault="004530D0" w:rsidP="002103BE">
            <w:pPr>
              <w:widowControl/>
              <w:suppressAutoHyphens w:val="0"/>
              <w:jc w:val="both"/>
              <w:rPr>
                <w:rFonts w:eastAsia="Calibri"/>
                <w:kern w:val="0"/>
                <w:lang w:eastAsia="en-US"/>
              </w:rPr>
            </w:pPr>
            <w:r w:rsidRPr="00425766">
              <w:rPr>
                <w:rFonts w:eastAsia="Calibri"/>
                <w:kern w:val="0"/>
                <w:lang w:eastAsia="en-US"/>
              </w:rPr>
              <w:t xml:space="preserve">Ing. </w:t>
            </w:r>
            <w:proofErr w:type="spellStart"/>
            <w:r w:rsidRPr="00425766">
              <w:rPr>
                <w:rFonts w:eastAsia="Calibri"/>
                <w:kern w:val="0"/>
                <w:lang w:eastAsia="en-US"/>
              </w:rPr>
              <w:t>Tomalová</w:t>
            </w:r>
            <w:proofErr w:type="spellEnd"/>
            <w:r w:rsidRPr="00425766">
              <w:rPr>
                <w:rFonts w:eastAsia="Calibri"/>
                <w:kern w:val="0"/>
                <w:lang w:eastAsia="en-US"/>
              </w:rPr>
              <w:t xml:space="preserve"> – hlavná kontrolórka</w:t>
            </w:r>
          </w:p>
        </w:tc>
      </w:tr>
      <w:tr w:rsidR="004530D0" w:rsidRPr="00425766" w14:paraId="1D5CDBE0" w14:textId="77777777" w:rsidTr="002103BE">
        <w:tc>
          <w:tcPr>
            <w:tcW w:w="1723" w:type="pct"/>
          </w:tcPr>
          <w:p w14:paraId="68ED25A4"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Materiál predkladá: </w:t>
            </w:r>
          </w:p>
        </w:tc>
        <w:tc>
          <w:tcPr>
            <w:tcW w:w="3277" w:type="pct"/>
          </w:tcPr>
          <w:p w14:paraId="6CCA0634" w14:textId="77777777" w:rsidR="004530D0" w:rsidRPr="00425766" w:rsidRDefault="004530D0" w:rsidP="002103BE">
            <w:pPr>
              <w:widowControl/>
              <w:suppressAutoHyphens w:val="0"/>
              <w:jc w:val="both"/>
              <w:rPr>
                <w:rFonts w:eastAsia="Calibri"/>
                <w:kern w:val="0"/>
                <w:lang w:eastAsia="en-US"/>
              </w:rPr>
            </w:pPr>
            <w:r w:rsidRPr="00425766">
              <w:rPr>
                <w:rFonts w:eastAsia="Calibri"/>
                <w:kern w:val="0"/>
                <w:lang w:eastAsia="en-US"/>
              </w:rPr>
              <w:t xml:space="preserve">Ing. </w:t>
            </w:r>
            <w:proofErr w:type="spellStart"/>
            <w:r w:rsidRPr="00425766">
              <w:rPr>
                <w:rFonts w:eastAsia="Calibri"/>
                <w:kern w:val="0"/>
                <w:lang w:eastAsia="en-US"/>
              </w:rPr>
              <w:t>Tomalová</w:t>
            </w:r>
            <w:proofErr w:type="spellEnd"/>
            <w:r w:rsidRPr="00425766">
              <w:rPr>
                <w:rFonts w:eastAsia="Calibri"/>
                <w:kern w:val="0"/>
                <w:lang w:eastAsia="en-US"/>
              </w:rPr>
              <w:t xml:space="preserve"> – hlavná kontrolórka</w:t>
            </w:r>
          </w:p>
        </w:tc>
      </w:tr>
      <w:tr w:rsidR="004530D0" w:rsidRPr="00425766" w14:paraId="626513E1" w14:textId="77777777" w:rsidTr="002103BE">
        <w:tc>
          <w:tcPr>
            <w:tcW w:w="1723" w:type="pct"/>
          </w:tcPr>
          <w:p w14:paraId="0E6BD1E8"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 xml:space="preserve">K bodu programu: </w:t>
            </w:r>
          </w:p>
        </w:tc>
        <w:tc>
          <w:tcPr>
            <w:tcW w:w="3277" w:type="pct"/>
          </w:tcPr>
          <w:p w14:paraId="5960673A" w14:textId="1C66211E" w:rsidR="004530D0" w:rsidRPr="00425766" w:rsidRDefault="00D060F8" w:rsidP="002103BE">
            <w:pPr>
              <w:widowControl/>
              <w:suppressAutoHyphens w:val="0"/>
              <w:jc w:val="both"/>
              <w:rPr>
                <w:rFonts w:eastAsia="Calibri"/>
                <w:kern w:val="0"/>
                <w:lang w:eastAsia="en-US"/>
              </w:rPr>
            </w:pPr>
            <w:r>
              <w:rPr>
                <w:rFonts w:eastAsia="Calibri"/>
                <w:kern w:val="0"/>
                <w:lang w:eastAsia="en-US"/>
              </w:rPr>
              <w:t>19</w:t>
            </w:r>
            <w:r w:rsidR="004530D0">
              <w:rPr>
                <w:rFonts w:eastAsia="Calibri"/>
                <w:kern w:val="0"/>
                <w:lang w:eastAsia="en-US"/>
              </w:rPr>
              <w:t>.</w:t>
            </w:r>
          </w:p>
        </w:tc>
      </w:tr>
      <w:tr w:rsidR="004530D0" w:rsidRPr="00425766" w14:paraId="648C6241" w14:textId="77777777" w:rsidTr="002103BE">
        <w:tc>
          <w:tcPr>
            <w:tcW w:w="1723" w:type="pct"/>
          </w:tcPr>
          <w:p w14:paraId="5AB88996"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Počet strán:</w:t>
            </w:r>
          </w:p>
        </w:tc>
        <w:tc>
          <w:tcPr>
            <w:tcW w:w="3277" w:type="pct"/>
          </w:tcPr>
          <w:p w14:paraId="74831A14" w14:textId="77777777" w:rsidR="004530D0" w:rsidRPr="00425766" w:rsidRDefault="004530D0" w:rsidP="002103BE">
            <w:pPr>
              <w:widowControl/>
              <w:suppressAutoHyphens w:val="0"/>
              <w:jc w:val="both"/>
              <w:rPr>
                <w:rFonts w:eastAsia="Calibri"/>
                <w:kern w:val="0"/>
                <w:lang w:eastAsia="en-US"/>
              </w:rPr>
            </w:pPr>
            <w:r>
              <w:rPr>
                <w:rFonts w:eastAsia="Calibri"/>
                <w:kern w:val="0"/>
                <w:lang w:eastAsia="en-US"/>
              </w:rPr>
              <w:t>4</w:t>
            </w:r>
          </w:p>
        </w:tc>
      </w:tr>
      <w:tr w:rsidR="004530D0" w:rsidRPr="00425766" w14:paraId="0DF599EF" w14:textId="77777777" w:rsidTr="002103BE">
        <w:tc>
          <w:tcPr>
            <w:tcW w:w="1723" w:type="pct"/>
          </w:tcPr>
          <w:p w14:paraId="78A25484" w14:textId="77777777" w:rsidR="004530D0" w:rsidRPr="00425766" w:rsidRDefault="004530D0" w:rsidP="002103BE">
            <w:pPr>
              <w:widowControl/>
              <w:suppressAutoHyphens w:val="0"/>
              <w:jc w:val="both"/>
              <w:rPr>
                <w:rFonts w:eastAsia="Calibri"/>
                <w:b/>
                <w:kern w:val="0"/>
                <w:lang w:eastAsia="en-US"/>
              </w:rPr>
            </w:pPr>
            <w:r w:rsidRPr="00425766">
              <w:rPr>
                <w:rFonts w:eastAsia="Calibri"/>
                <w:b/>
                <w:kern w:val="0"/>
                <w:lang w:eastAsia="en-US"/>
              </w:rPr>
              <w:t>Prílohy:</w:t>
            </w:r>
          </w:p>
        </w:tc>
        <w:tc>
          <w:tcPr>
            <w:tcW w:w="3277" w:type="pct"/>
            <w:tcBorders>
              <w:bottom w:val="single" w:sz="4" w:space="0" w:color="auto"/>
            </w:tcBorders>
          </w:tcPr>
          <w:p w14:paraId="0691444B" w14:textId="77777777" w:rsidR="004530D0" w:rsidRPr="00425766" w:rsidRDefault="004530D0" w:rsidP="002103BE">
            <w:pPr>
              <w:widowControl/>
              <w:suppressAutoHyphens w:val="0"/>
              <w:jc w:val="both"/>
              <w:rPr>
                <w:rFonts w:eastAsia="Calibri"/>
                <w:kern w:val="0"/>
                <w:lang w:eastAsia="en-US"/>
              </w:rPr>
            </w:pPr>
            <w:r>
              <w:rPr>
                <w:rFonts w:eastAsia="Calibri"/>
                <w:kern w:val="0"/>
                <w:lang w:eastAsia="en-US"/>
              </w:rPr>
              <w:t>Správa</w:t>
            </w:r>
          </w:p>
        </w:tc>
      </w:tr>
      <w:tr w:rsidR="004530D0" w:rsidRPr="00425766" w14:paraId="2A483AEC" w14:textId="77777777" w:rsidTr="002103BE">
        <w:tc>
          <w:tcPr>
            <w:tcW w:w="1723" w:type="pct"/>
            <w:tcBorders>
              <w:bottom w:val="single" w:sz="4" w:space="0" w:color="auto"/>
              <w:right w:val="nil"/>
            </w:tcBorders>
          </w:tcPr>
          <w:p w14:paraId="221F3181" w14:textId="77777777" w:rsidR="004530D0" w:rsidRDefault="004530D0" w:rsidP="002103BE">
            <w:pPr>
              <w:widowControl/>
              <w:suppressAutoHyphens w:val="0"/>
              <w:jc w:val="both"/>
              <w:rPr>
                <w:rFonts w:eastAsia="Calibri"/>
                <w:b/>
                <w:kern w:val="0"/>
                <w:lang w:eastAsia="en-US"/>
              </w:rPr>
            </w:pPr>
            <w:r>
              <w:rPr>
                <w:rFonts w:eastAsia="Calibri"/>
                <w:b/>
                <w:kern w:val="0"/>
                <w:lang w:eastAsia="en-US"/>
              </w:rPr>
              <w:t>Dôvodová správa:</w:t>
            </w:r>
          </w:p>
          <w:p w14:paraId="21BAE6E0" w14:textId="77777777" w:rsidR="004530D0" w:rsidRDefault="004530D0" w:rsidP="002103BE">
            <w:pPr>
              <w:widowControl/>
              <w:suppressAutoHyphens w:val="0"/>
              <w:jc w:val="both"/>
              <w:rPr>
                <w:rFonts w:eastAsia="Calibri"/>
                <w:b/>
                <w:kern w:val="0"/>
                <w:lang w:eastAsia="en-US"/>
              </w:rPr>
            </w:pPr>
          </w:p>
          <w:p w14:paraId="1A37DE05" w14:textId="77777777" w:rsidR="004530D0" w:rsidRPr="00425766" w:rsidRDefault="004530D0" w:rsidP="002103BE">
            <w:pPr>
              <w:widowControl/>
              <w:suppressAutoHyphens w:val="0"/>
              <w:jc w:val="both"/>
              <w:rPr>
                <w:rFonts w:eastAsia="Calibri"/>
                <w:b/>
                <w:kern w:val="0"/>
                <w:lang w:eastAsia="en-US"/>
              </w:rPr>
            </w:pPr>
          </w:p>
          <w:p w14:paraId="6C4D1398" w14:textId="77777777" w:rsidR="004530D0" w:rsidRPr="00425766" w:rsidRDefault="004530D0" w:rsidP="002103BE">
            <w:pPr>
              <w:widowControl/>
              <w:suppressAutoHyphens w:val="0"/>
              <w:jc w:val="both"/>
              <w:rPr>
                <w:rFonts w:eastAsia="Calibri"/>
                <w:b/>
                <w:kern w:val="0"/>
                <w:lang w:eastAsia="en-US"/>
              </w:rPr>
            </w:pPr>
          </w:p>
          <w:p w14:paraId="63F5ADBF" w14:textId="77777777" w:rsidR="004530D0" w:rsidRPr="00425766" w:rsidRDefault="004530D0" w:rsidP="002103BE">
            <w:pPr>
              <w:widowControl/>
              <w:suppressAutoHyphens w:val="0"/>
              <w:jc w:val="both"/>
              <w:rPr>
                <w:rFonts w:eastAsia="Calibri"/>
                <w:b/>
                <w:kern w:val="0"/>
                <w:lang w:eastAsia="en-US"/>
              </w:rPr>
            </w:pPr>
          </w:p>
          <w:p w14:paraId="63175838" w14:textId="77777777" w:rsidR="004530D0" w:rsidRPr="00425766" w:rsidRDefault="004530D0" w:rsidP="002103BE">
            <w:pPr>
              <w:widowControl/>
              <w:suppressAutoHyphens w:val="0"/>
              <w:jc w:val="both"/>
              <w:rPr>
                <w:rFonts w:eastAsia="Calibri"/>
                <w:b/>
                <w:kern w:val="0"/>
                <w:lang w:eastAsia="en-US"/>
              </w:rPr>
            </w:pPr>
          </w:p>
          <w:p w14:paraId="11A04266" w14:textId="77777777" w:rsidR="004530D0" w:rsidRPr="00425766" w:rsidRDefault="004530D0" w:rsidP="002103BE">
            <w:pPr>
              <w:widowControl/>
              <w:suppressAutoHyphens w:val="0"/>
              <w:jc w:val="both"/>
              <w:rPr>
                <w:rFonts w:eastAsia="Calibri"/>
                <w:b/>
                <w:kern w:val="0"/>
                <w:lang w:eastAsia="en-US"/>
              </w:rPr>
            </w:pPr>
          </w:p>
          <w:p w14:paraId="4C2005AA" w14:textId="77777777" w:rsidR="004530D0" w:rsidRPr="00425766" w:rsidRDefault="004530D0" w:rsidP="002103BE">
            <w:pPr>
              <w:widowControl/>
              <w:suppressAutoHyphens w:val="0"/>
              <w:jc w:val="both"/>
              <w:rPr>
                <w:rFonts w:eastAsia="Calibri"/>
                <w:b/>
                <w:kern w:val="0"/>
                <w:lang w:eastAsia="en-US"/>
              </w:rPr>
            </w:pPr>
          </w:p>
          <w:p w14:paraId="038636F5" w14:textId="77777777" w:rsidR="004530D0" w:rsidRPr="00425766" w:rsidRDefault="004530D0" w:rsidP="002103BE">
            <w:pPr>
              <w:widowControl/>
              <w:suppressAutoHyphens w:val="0"/>
              <w:jc w:val="both"/>
              <w:rPr>
                <w:rFonts w:eastAsia="Calibri"/>
                <w:b/>
                <w:kern w:val="0"/>
                <w:lang w:eastAsia="en-US"/>
              </w:rPr>
            </w:pPr>
          </w:p>
          <w:p w14:paraId="4EF71392" w14:textId="77777777" w:rsidR="004530D0" w:rsidRPr="00425766" w:rsidRDefault="004530D0" w:rsidP="002103BE">
            <w:pPr>
              <w:widowControl/>
              <w:suppressAutoHyphens w:val="0"/>
              <w:jc w:val="both"/>
              <w:rPr>
                <w:rFonts w:eastAsia="Calibri"/>
                <w:b/>
                <w:kern w:val="0"/>
                <w:lang w:eastAsia="en-US"/>
              </w:rPr>
            </w:pPr>
          </w:p>
          <w:p w14:paraId="77B69536" w14:textId="77777777" w:rsidR="004530D0" w:rsidRPr="00425766" w:rsidRDefault="004530D0" w:rsidP="002103BE">
            <w:pPr>
              <w:widowControl/>
              <w:suppressAutoHyphens w:val="0"/>
              <w:jc w:val="both"/>
              <w:rPr>
                <w:rFonts w:eastAsia="Calibri"/>
                <w:b/>
                <w:kern w:val="0"/>
                <w:lang w:eastAsia="en-US"/>
              </w:rPr>
            </w:pPr>
          </w:p>
          <w:p w14:paraId="32873C44" w14:textId="77777777" w:rsidR="004530D0" w:rsidRPr="00425766" w:rsidRDefault="004530D0" w:rsidP="002103BE">
            <w:pPr>
              <w:widowControl/>
              <w:suppressAutoHyphens w:val="0"/>
              <w:jc w:val="both"/>
              <w:rPr>
                <w:rFonts w:eastAsia="Calibri"/>
                <w:b/>
                <w:kern w:val="0"/>
                <w:lang w:eastAsia="en-US"/>
              </w:rPr>
            </w:pPr>
          </w:p>
        </w:tc>
        <w:tc>
          <w:tcPr>
            <w:tcW w:w="3277" w:type="pct"/>
            <w:tcBorders>
              <w:left w:val="nil"/>
              <w:bottom w:val="single" w:sz="4" w:space="0" w:color="auto"/>
            </w:tcBorders>
          </w:tcPr>
          <w:p w14:paraId="091FDC17" w14:textId="77777777" w:rsidR="004530D0" w:rsidRPr="0070741E" w:rsidRDefault="004530D0" w:rsidP="002103BE">
            <w:pPr>
              <w:tabs>
                <w:tab w:val="left" w:pos="495"/>
              </w:tabs>
              <w:autoSpaceDN w:val="0"/>
              <w:spacing w:before="240"/>
              <w:jc w:val="both"/>
              <w:rPr>
                <w:rFonts w:eastAsiaTheme="minorHAnsi"/>
                <w:kern w:val="0"/>
                <w:lang w:eastAsia="en-US"/>
              </w:rPr>
            </w:pPr>
            <w:r w:rsidRPr="00425766">
              <w:rPr>
                <w:rFonts w:eastAsiaTheme="minorHAnsi"/>
                <w:kern w:val="0"/>
                <w:lang w:eastAsia="en-US"/>
              </w:rPr>
              <w:t xml:space="preserve"> </w:t>
            </w:r>
            <w:r>
              <w:rPr>
                <w:rFonts w:eastAsiaTheme="minorHAnsi"/>
                <w:kern w:val="0"/>
                <w:lang w:eastAsia="en-US"/>
              </w:rPr>
              <w:t xml:space="preserve">     </w:t>
            </w:r>
            <w:r w:rsidRPr="0070741E">
              <w:rPr>
                <w:rFonts w:eastAsiaTheme="minorHAnsi"/>
                <w:kern w:val="0"/>
                <w:lang w:eastAsia="en-US"/>
              </w:rPr>
              <w:t xml:space="preserve">V zmysle ustanovenia § 18f ods. 1 písm. d), zákona č.  369/1990 Zb. o obecnom zriadení v znení neskorších predpisov, je úlohou hlavného kontrolóra predložiť správu o výsledkoch kontroly priamo mestskému zastupiteľstvu na jeho najbližšom zasadnutí. </w:t>
            </w:r>
          </w:p>
          <w:p w14:paraId="264B1A9A" w14:textId="77777777" w:rsidR="004530D0" w:rsidRPr="00425766" w:rsidRDefault="004530D0" w:rsidP="002103BE">
            <w:pPr>
              <w:tabs>
                <w:tab w:val="left" w:pos="495"/>
              </w:tabs>
              <w:autoSpaceDN w:val="0"/>
              <w:jc w:val="both"/>
            </w:pPr>
            <w:r>
              <w:t xml:space="preserve">     </w:t>
            </w:r>
            <w:r w:rsidRPr="0070741E">
              <w:rPr>
                <w:rFonts w:eastAsiaTheme="minorHAnsi"/>
                <w:kern w:val="0"/>
                <w:lang w:eastAsia="en-US"/>
              </w:rPr>
              <w:t>Kontrol</w:t>
            </w:r>
            <w:r>
              <w:rPr>
                <w:rFonts w:eastAsiaTheme="minorHAnsi"/>
                <w:kern w:val="0"/>
                <w:lang w:eastAsia="en-US"/>
              </w:rPr>
              <w:t>a</w:t>
            </w:r>
            <w:r w:rsidRPr="0070741E">
              <w:rPr>
                <w:rFonts w:eastAsiaTheme="minorHAnsi"/>
                <w:kern w:val="0"/>
                <w:lang w:eastAsia="en-US"/>
              </w:rPr>
              <w:t xml:space="preserve"> bol</w:t>
            </w:r>
            <w:r>
              <w:rPr>
                <w:rFonts w:eastAsiaTheme="minorHAnsi"/>
                <w:kern w:val="0"/>
                <w:lang w:eastAsia="en-US"/>
              </w:rPr>
              <w:t>a</w:t>
            </w:r>
            <w:r w:rsidRPr="0070741E">
              <w:rPr>
                <w:rFonts w:eastAsiaTheme="minorHAnsi"/>
                <w:kern w:val="0"/>
                <w:lang w:eastAsia="en-US"/>
              </w:rPr>
              <w:t xml:space="preserve"> vykonan</w:t>
            </w:r>
            <w:r>
              <w:rPr>
                <w:rFonts w:eastAsiaTheme="minorHAnsi"/>
                <w:kern w:val="0"/>
                <w:lang w:eastAsia="en-US"/>
              </w:rPr>
              <w:t>á</w:t>
            </w:r>
            <w:r w:rsidRPr="0070741E">
              <w:rPr>
                <w:rFonts w:eastAsiaTheme="minorHAnsi"/>
                <w:kern w:val="0"/>
                <w:lang w:eastAsia="en-US"/>
              </w:rPr>
              <w:t xml:space="preserve"> na základe schváleného plánu kontrolnej činnosti </w:t>
            </w:r>
            <w:r>
              <w:rPr>
                <w:rFonts w:eastAsiaTheme="minorHAnsi"/>
                <w:kern w:val="0"/>
                <w:lang w:eastAsia="en-US"/>
              </w:rPr>
              <w:t>a zákona</w:t>
            </w:r>
            <w:r w:rsidRPr="0070741E">
              <w:rPr>
                <w:rFonts w:eastAsiaTheme="minorHAnsi"/>
                <w:kern w:val="0"/>
                <w:lang w:eastAsia="en-US"/>
              </w:rPr>
              <w:t>. Dokumentácia z ukončených kontrol je k dispozícií u hlavnej kontrolórky pre potreby poslancov mestského zastupiteľstva.</w:t>
            </w:r>
          </w:p>
        </w:tc>
      </w:tr>
      <w:tr w:rsidR="004530D0" w:rsidRPr="00425766" w14:paraId="3C767740" w14:textId="77777777" w:rsidTr="002103BE">
        <w:tc>
          <w:tcPr>
            <w:tcW w:w="1723" w:type="pct"/>
            <w:tcBorders>
              <w:top w:val="single" w:sz="4" w:space="0" w:color="auto"/>
            </w:tcBorders>
          </w:tcPr>
          <w:p w14:paraId="30093352" w14:textId="77777777" w:rsidR="004530D0" w:rsidRPr="00425766" w:rsidRDefault="004530D0" w:rsidP="002103BE">
            <w:pPr>
              <w:widowControl/>
              <w:suppressAutoHyphens w:val="0"/>
              <w:rPr>
                <w:rFonts w:eastAsia="Calibri"/>
                <w:b/>
                <w:kern w:val="0"/>
                <w:lang w:eastAsia="en-US"/>
              </w:rPr>
            </w:pPr>
            <w:r w:rsidRPr="00425766">
              <w:rPr>
                <w:rFonts w:eastAsia="Calibri"/>
                <w:b/>
                <w:kern w:val="0"/>
                <w:lang w:eastAsia="en-US"/>
              </w:rPr>
              <w:t>Meno, priezvisko, funkcia  a podpis predkladateľa:</w:t>
            </w:r>
          </w:p>
        </w:tc>
        <w:tc>
          <w:tcPr>
            <w:tcW w:w="3277" w:type="pct"/>
            <w:tcBorders>
              <w:top w:val="single" w:sz="4" w:space="0" w:color="auto"/>
            </w:tcBorders>
          </w:tcPr>
          <w:p w14:paraId="6C02A47B" w14:textId="77777777" w:rsidR="004530D0" w:rsidRPr="00425766" w:rsidRDefault="004530D0" w:rsidP="002103BE">
            <w:pPr>
              <w:widowControl/>
              <w:suppressAutoHyphens w:val="0"/>
              <w:jc w:val="both"/>
              <w:rPr>
                <w:rFonts w:eastAsia="Calibri"/>
                <w:kern w:val="0"/>
                <w:lang w:eastAsia="en-US"/>
              </w:rPr>
            </w:pPr>
            <w:r w:rsidRPr="00425766">
              <w:rPr>
                <w:rFonts w:eastAsia="Calibri"/>
                <w:kern w:val="0"/>
                <w:lang w:eastAsia="en-US"/>
              </w:rPr>
              <w:t xml:space="preserve">Ing. Slávka </w:t>
            </w:r>
            <w:proofErr w:type="spellStart"/>
            <w:r w:rsidRPr="00425766">
              <w:rPr>
                <w:rFonts w:eastAsia="Calibri"/>
                <w:kern w:val="0"/>
                <w:lang w:eastAsia="en-US"/>
              </w:rPr>
              <w:t>Tomalová</w:t>
            </w:r>
            <w:proofErr w:type="spellEnd"/>
            <w:r w:rsidRPr="00425766">
              <w:rPr>
                <w:rFonts w:eastAsia="Calibri"/>
                <w:kern w:val="0"/>
                <w:lang w:eastAsia="en-US"/>
              </w:rPr>
              <w:t xml:space="preserve"> – hlavná kontrolórka mesta Spišská Belá</w:t>
            </w:r>
          </w:p>
          <w:p w14:paraId="3C6CFEC4" w14:textId="77777777" w:rsidR="004530D0" w:rsidRPr="00425766" w:rsidRDefault="004530D0" w:rsidP="002103BE">
            <w:pPr>
              <w:widowControl/>
              <w:suppressAutoHyphens w:val="0"/>
              <w:jc w:val="both"/>
              <w:rPr>
                <w:rFonts w:eastAsia="Calibri"/>
                <w:kern w:val="0"/>
                <w:lang w:eastAsia="en-US"/>
              </w:rPr>
            </w:pPr>
            <w:r w:rsidRPr="00425766">
              <w:rPr>
                <w:rFonts w:eastAsia="Calibri"/>
                <w:kern w:val="0"/>
                <w:lang w:eastAsia="en-US"/>
              </w:rPr>
              <w:t xml:space="preserve">                                                                 .......................................</w:t>
            </w:r>
          </w:p>
        </w:tc>
      </w:tr>
    </w:tbl>
    <w:p w14:paraId="27C9A81F" w14:textId="77777777" w:rsidR="004530D0" w:rsidRDefault="004530D0" w:rsidP="004530D0">
      <w:pPr>
        <w:widowControl/>
        <w:suppressAutoHyphens w:val="0"/>
        <w:spacing w:after="200" w:line="276" w:lineRule="auto"/>
        <w:jc w:val="both"/>
        <w:rPr>
          <w:rFonts w:eastAsiaTheme="minorHAnsi"/>
          <w:b/>
          <w:kern w:val="0"/>
          <w:lang w:eastAsia="en-US"/>
        </w:rPr>
      </w:pPr>
    </w:p>
    <w:p w14:paraId="7E4366E1" w14:textId="77777777" w:rsidR="004530D0" w:rsidRDefault="004530D0" w:rsidP="004530D0">
      <w:pPr>
        <w:widowControl/>
        <w:suppressAutoHyphens w:val="0"/>
        <w:spacing w:after="200" w:line="276" w:lineRule="auto"/>
        <w:jc w:val="both"/>
        <w:rPr>
          <w:rFonts w:eastAsiaTheme="minorHAnsi"/>
          <w:b/>
          <w:kern w:val="0"/>
          <w:lang w:eastAsia="en-US"/>
        </w:rPr>
      </w:pPr>
    </w:p>
    <w:p w14:paraId="7ACEB9B9" w14:textId="77777777" w:rsidR="004530D0" w:rsidRPr="004978AE" w:rsidRDefault="004530D0" w:rsidP="004530D0">
      <w:pPr>
        <w:widowControl/>
        <w:suppressAutoHyphens w:val="0"/>
        <w:spacing w:after="200" w:line="276" w:lineRule="auto"/>
        <w:jc w:val="both"/>
        <w:rPr>
          <w:rFonts w:eastAsiaTheme="minorHAnsi"/>
          <w:b/>
          <w:kern w:val="0"/>
          <w:lang w:eastAsia="en-US"/>
        </w:rPr>
      </w:pPr>
      <w:r w:rsidRPr="004978AE">
        <w:rPr>
          <w:rFonts w:eastAsiaTheme="minorHAnsi"/>
          <w:b/>
          <w:kern w:val="0"/>
          <w:lang w:eastAsia="en-US"/>
        </w:rPr>
        <w:lastRenderedPageBreak/>
        <w:t>Správ</w:t>
      </w:r>
      <w:r>
        <w:rPr>
          <w:rFonts w:eastAsiaTheme="minorHAnsi"/>
          <w:b/>
          <w:kern w:val="0"/>
          <w:lang w:eastAsia="en-US"/>
        </w:rPr>
        <w:t>a</w:t>
      </w:r>
      <w:r w:rsidRPr="004978AE">
        <w:rPr>
          <w:rFonts w:eastAsiaTheme="minorHAnsi"/>
          <w:b/>
          <w:kern w:val="0"/>
          <w:lang w:eastAsia="en-US"/>
        </w:rPr>
        <w:t xml:space="preserve"> z vykonanej  kontroly</w:t>
      </w:r>
      <w:r>
        <w:rPr>
          <w:rFonts w:eastAsiaTheme="minorHAnsi"/>
          <w:b/>
          <w:kern w:val="0"/>
          <w:lang w:eastAsia="en-US"/>
        </w:rPr>
        <w:t>, ktorej cieľom bolo</w:t>
      </w:r>
      <w:r w:rsidRPr="004978AE">
        <w:rPr>
          <w:rFonts w:eastAsiaTheme="minorHAnsi"/>
          <w:b/>
          <w:kern w:val="0"/>
          <w:lang w:eastAsia="en-US"/>
        </w:rPr>
        <w:t>:</w:t>
      </w:r>
    </w:p>
    <w:p w14:paraId="1F4621AB" w14:textId="48732941" w:rsidR="007A293D" w:rsidRDefault="007A293D" w:rsidP="007A293D">
      <w:pPr>
        <w:pStyle w:val="Odsekzoznamu"/>
        <w:numPr>
          <w:ilvl w:val="0"/>
          <w:numId w:val="2"/>
        </w:numPr>
        <w:tabs>
          <w:tab w:val="left" w:pos="495"/>
        </w:tabs>
        <w:autoSpaceDN w:val="0"/>
        <w:textAlignment w:val="baseline"/>
        <w:rPr>
          <w:rFonts w:eastAsia="Calibri"/>
          <w:b/>
          <w:kern w:val="0"/>
          <w:lang w:eastAsia="en-US"/>
        </w:rPr>
      </w:pPr>
      <w:bookmarkStart w:id="3" w:name="_Hlk160537973"/>
      <w:r>
        <w:rPr>
          <w:rFonts w:eastAsia="Calibri"/>
          <w:kern w:val="0"/>
          <w:lang w:eastAsia="en-US"/>
        </w:rPr>
        <w:t xml:space="preserve">    </w:t>
      </w:r>
      <w:r w:rsidRPr="007A293D">
        <w:rPr>
          <w:rFonts w:eastAsia="Calibri"/>
          <w:b/>
          <w:kern w:val="0"/>
          <w:lang w:eastAsia="en-US"/>
        </w:rPr>
        <w:t xml:space="preserve">preveriť </w:t>
      </w:r>
      <w:r w:rsidRPr="007A293D">
        <w:rPr>
          <w:rFonts w:eastAsia="Calibri"/>
          <w:b/>
          <w:kern w:val="0"/>
          <w:lang w:eastAsia="en-US"/>
        </w:rPr>
        <w:t>stav, evidenci</w:t>
      </w:r>
      <w:r w:rsidRPr="007A293D">
        <w:rPr>
          <w:rFonts w:eastAsia="Calibri"/>
          <w:b/>
          <w:kern w:val="0"/>
          <w:lang w:eastAsia="en-US"/>
        </w:rPr>
        <w:t>u</w:t>
      </w:r>
      <w:r w:rsidRPr="007A293D">
        <w:rPr>
          <w:rFonts w:eastAsia="Calibri"/>
          <w:b/>
          <w:kern w:val="0"/>
          <w:lang w:eastAsia="en-US"/>
        </w:rPr>
        <w:t xml:space="preserve"> a vymáhani</w:t>
      </w:r>
      <w:r w:rsidRPr="007A293D">
        <w:rPr>
          <w:rFonts w:eastAsia="Calibri"/>
          <w:b/>
          <w:kern w:val="0"/>
          <w:lang w:eastAsia="en-US"/>
        </w:rPr>
        <w:t>e</w:t>
      </w:r>
      <w:r w:rsidRPr="007A293D">
        <w:rPr>
          <w:rFonts w:eastAsia="Calibri"/>
          <w:b/>
          <w:kern w:val="0"/>
          <w:lang w:eastAsia="en-US"/>
        </w:rPr>
        <w:t xml:space="preserve"> nájomného, záväzkov a pohľadávok v kapitole byty a nebytové priestory  k  30. 9. 2024</w:t>
      </w:r>
    </w:p>
    <w:p w14:paraId="05029003" w14:textId="429B57E3" w:rsidR="007E7BD9" w:rsidRDefault="007E7BD9" w:rsidP="007E7BD9">
      <w:pPr>
        <w:tabs>
          <w:tab w:val="left" w:pos="495"/>
        </w:tabs>
        <w:autoSpaceDN w:val="0"/>
        <w:textAlignment w:val="baseline"/>
        <w:rPr>
          <w:rFonts w:eastAsia="Calibri"/>
          <w:b/>
          <w:kern w:val="0"/>
          <w:lang w:eastAsia="en-US"/>
        </w:rPr>
      </w:pPr>
    </w:p>
    <w:p w14:paraId="5C877BDA" w14:textId="54A7329C" w:rsidR="007E7BD9" w:rsidRDefault="007E7BD9" w:rsidP="007E7BD9">
      <w:pPr>
        <w:tabs>
          <w:tab w:val="left" w:pos="495"/>
        </w:tabs>
        <w:autoSpaceDN w:val="0"/>
        <w:textAlignment w:val="baseline"/>
        <w:rPr>
          <w:rFonts w:eastAsia="Calibri"/>
          <w:b/>
          <w:kern w:val="0"/>
          <w:lang w:eastAsia="en-US"/>
        </w:rPr>
      </w:pPr>
    </w:p>
    <w:p w14:paraId="62756D08" w14:textId="77777777" w:rsidR="007E7BD9" w:rsidRPr="007E7BD9" w:rsidRDefault="007E7BD9" w:rsidP="007E7BD9">
      <w:pPr>
        <w:tabs>
          <w:tab w:val="left" w:pos="495"/>
        </w:tabs>
        <w:autoSpaceDN w:val="0"/>
        <w:jc w:val="both"/>
        <w:rPr>
          <w:rFonts w:eastAsia="Andale Sans UI"/>
          <w:kern w:val="3"/>
          <w:lang w:val="en-US" w:eastAsia="ja-JP" w:bidi="fa-IR"/>
        </w:rPr>
      </w:pPr>
      <w:proofErr w:type="spellStart"/>
      <w:r w:rsidRPr="007E7BD9">
        <w:rPr>
          <w:rFonts w:eastAsia="Andale Sans UI"/>
          <w:kern w:val="3"/>
          <w:lang w:val="en-US" w:eastAsia="ja-JP" w:bidi="fa-IR"/>
        </w:rPr>
        <w:t>Pri</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kontrole</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boli</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preverené</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zmluvy</w:t>
      </w:r>
      <w:proofErr w:type="spellEnd"/>
      <w:r w:rsidRPr="007E7BD9">
        <w:rPr>
          <w:rFonts w:eastAsia="Andale Sans UI"/>
          <w:kern w:val="3"/>
          <w:lang w:val="en-US" w:eastAsia="ja-JP" w:bidi="fa-IR"/>
        </w:rPr>
        <w:t xml:space="preserve"> o </w:t>
      </w:r>
      <w:proofErr w:type="spellStart"/>
      <w:r w:rsidRPr="007E7BD9">
        <w:rPr>
          <w:rFonts w:eastAsia="Andale Sans UI"/>
          <w:kern w:val="3"/>
          <w:lang w:val="en-US" w:eastAsia="ja-JP" w:bidi="fa-IR"/>
        </w:rPr>
        <w:t>nájmoch</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prípadné</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dodatky</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evidencia</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nedoplatkov</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Korwin</w:t>
      </w:r>
      <w:proofErr w:type="spellEnd"/>
      <w:r w:rsidRPr="007E7BD9">
        <w:rPr>
          <w:rFonts w:eastAsia="Andale Sans UI"/>
          <w:kern w:val="3"/>
          <w:lang w:val="en-US" w:eastAsia="ja-JP" w:bidi="fa-IR"/>
        </w:rPr>
        <w:t xml:space="preserve"> a RENT za </w:t>
      </w:r>
      <w:proofErr w:type="spellStart"/>
      <w:r w:rsidRPr="007E7BD9">
        <w:rPr>
          <w:rFonts w:eastAsia="Andale Sans UI"/>
          <w:kern w:val="3"/>
          <w:lang w:val="en-US" w:eastAsia="ja-JP" w:bidi="fa-IR"/>
        </w:rPr>
        <w:t>byty</w:t>
      </w:r>
      <w:proofErr w:type="spellEnd"/>
      <w:r w:rsidRPr="007E7BD9">
        <w:rPr>
          <w:rFonts w:eastAsia="Andale Sans UI"/>
          <w:kern w:val="3"/>
          <w:lang w:val="en-US" w:eastAsia="ja-JP" w:bidi="fa-IR"/>
        </w:rPr>
        <w:t xml:space="preserve"> a </w:t>
      </w:r>
      <w:proofErr w:type="spellStart"/>
      <w:r w:rsidRPr="007E7BD9">
        <w:rPr>
          <w:rFonts w:eastAsia="Andale Sans UI"/>
          <w:kern w:val="3"/>
          <w:lang w:val="en-US" w:eastAsia="ja-JP" w:bidi="fa-IR"/>
        </w:rPr>
        <w:t>nebytové</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priestory</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výzvy</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na</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zaplatenie</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nedoplatkov</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splátkové</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kalendáre</w:t>
      </w:r>
      <w:proofErr w:type="spellEnd"/>
      <w:r w:rsidRPr="007E7BD9">
        <w:rPr>
          <w:rFonts w:eastAsia="Andale Sans UI"/>
          <w:kern w:val="3"/>
          <w:lang w:val="en-US" w:eastAsia="ja-JP" w:bidi="fa-IR"/>
        </w:rPr>
        <w:t xml:space="preserve"> </w:t>
      </w:r>
      <w:proofErr w:type="gramStart"/>
      <w:r w:rsidRPr="007E7BD9">
        <w:rPr>
          <w:rFonts w:eastAsia="Andale Sans UI"/>
          <w:kern w:val="3"/>
          <w:lang w:val="en-US" w:eastAsia="ja-JP" w:bidi="fa-IR"/>
        </w:rPr>
        <w:t>a</w:t>
      </w:r>
      <w:proofErr w:type="gram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iné</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súvisiace</w:t>
      </w:r>
      <w:proofErr w:type="spellEnd"/>
      <w:r w:rsidRPr="007E7BD9">
        <w:rPr>
          <w:rFonts w:eastAsia="Andale Sans UI"/>
          <w:kern w:val="3"/>
          <w:lang w:val="en-US" w:eastAsia="ja-JP" w:bidi="fa-IR"/>
        </w:rPr>
        <w:t xml:space="preserve"> </w:t>
      </w:r>
      <w:proofErr w:type="spellStart"/>
      <w:r w:rsidRPr="007E7BD9">
        <w:rPr>
          <w:rFonts w:eastAsia="Andale Sans UI"/>
          <w:kern w:val="3"/>
          <w:lang w:val="en-US" w:eastAsia="ja-JP" w:bidi="fa-IR"/>
        </w:rPr>
        <w:t>doklady</w:t>
      </w:r>
      <w:proofErr w:type="spellEnd"/>
      <w:r w:rsidRPr="007E7BD9">
        <w:rPr>
          <w:rFonts w:eastAsia="Andale Sans UI"/>
          <w:kern w:val="3"/>
          <w:lang w:val="en-US" w:eastAsia="ja-JP" w:bidi="fa-IR"/>
        </w:rPr>
        <w:t xml:space="preserve">.   </w:t>
      </w:r>
    </w:p>
    <w:p w14:paraId="4DE4C61D" w14:textId="77777777" w:rsidR="007E7BD9" w:rsidRPr="007E7BD9" w:rsidRDefault="007E7BD9" w:rsidP="007E7BD9">
      <w:pPr>
        <w:tabs>
          <w:tab w:val="left" w:pos="495"/>
        </w:tabs>
        <w:autoSpaceDN w:val="0"/>
        <w:jc w:val="both"/>
        <w:rPr>
          <w:rFonts w:eastAsia="Andale Sans UI"/>
          <w:kern w:val="3"/>
          <w:lang w:val="en-US" w:eastAsia="ja-JP" w:bidi="fa-IR"/>
        </w:rPr>
      </w:pPr>
    </w:p>
    <w:p w14:paraId="1E5607EE" w14:textId="77777777" w:rsidR="007E7BD9" w:rsidRPr="007E7BD9" w:rsidRDefault="007E7BD9" w:rsidP="007E7BD9">
      <w:pPr>
        <w:tabs>
          <w:tab w:val="left" w:pos="495"/>
        </w:tabs>
        <w:autoSpaceDN w:val="0"/>
        <w:jc w:val="both"/>
        <w:rPr>
          <w:rFonts w:eastAsia="Andale Sans UI" w:cs="Tahoma"/>
          <w:b/>
          <w:kern w:val="3"/>
          <w:lang w:val="en-US" w:eastAsia="ja-JP" w:bidi="fa-IR"/>
        </w:rPr>
      </w:pPr>
      <w:r w:rsidRPr="007E7BD9">
        <w:rPr>
          <w:rFonts w:eastAsia="Andale Sans UI" w:cs="Tahoma"/>
          <w:kern w:val="3"/>
          <w:lang w:val="en-US" w:eastAsia="ja-JP" w:bidi="fa-IR"/>
        </w:rPr>
        <w:t xml:space="preserve">     </w:t>
      </w:r>
      <w:proofErr w:type="spellStart"/>
      <w:r w:rsidRPr="007E7BD9">
        <w:rPr>
          <w:rFonts w:eastAsia="Andale Sans UI" w:cs="Tahoma"/>
          <w:b/>
          <w:kern w:val="3"/>
          <w:lang w:val="en-US" w:eastAsia="ja-JP" w:bidi="fa-IR"/>
        </w:rPr>
        <w:t>Výsledok</w:t>
      </w:r>
      <w:proofErr w:type="spellEnd"/>
      <w:r w:rsidRPr="007E7BD9">
        <w:rPr>
          <w:rFonts w:eastAsia="Andale Sans UI" w:cs="Tahoma"/>
          <w:b/>
          <w:kern w:val="3"/>
          <w:lang w:val="en-US" w:eastAsia="ja-JP" w:bidi="fa-IR"/>
        </w:rPr>
        <w:t xml:space="preserve"> </w:t>
      </w:r>
      <w:proofErr w:type="spellStart"/>
      <w:r w:rsidRPr="007E7BD9">
        <w:rPr>
          <w:rFonts w:eastAsia="Andale Sans UI" w:cs="Tahoma"/>
          <w:b/>
          <w:kern w:val="3"/>
          <w:lang w:val="en-US" w:eastAsia="ja-JP" w:bidi="fa-IR"/>
        </w:rPr>
        <w:t>kontroly</w:t>
      </w:r>
      <w:proofErr w:type="spellEnd"/>
      <w:r w:rsidRPr="007E7BD9">
        <w:rPr>
          <w:rFonts w:eastAsia="Andale Sans UI" w:cs="Tahoma"/>
          <w:b/>
          <w:kern w:val="3"/>
          <w:lang w:val="en-US" w:eastAsia="ja-JP" w:bidi="fa-IR"/>
        </w:rPr>
        <w:t>:</w:t>
      </w:r>
    </w:p>
    <w:p w14:paraId="3724926A" w14:textId="77777777" w:rsidR="007E7BD9" w:rsidRPr="007E7BD9" w:rsidRDefault="007E7BD9" w:rsidP="007E7BD9">
      <w:pPr>
        <w:widowControl/>
        <w:suppressAutoHyphens w:val="0"/>
        <w:spacing w:before="100" w:beforeAutospacing="1" w:after="100" w:afterAutospacing="1"/>
        <w:rPr>
          <w:rFonts w:eastAsia="Times New Roman"/>
          <w:kern w:val="0"/>
          <w:u w:val="single"/>
        </w:rPr>
      </w:pPr>
      <w:r w:rsidRPr="007E7BD9">
        <w:rPr>
          <w:rFonts w:eastAsia="Times New Roman"/>
          <w:kern w:val="0"/>
          <w:u w:val="single"/>
        </w:rPr>
        <w:t>NEBYTOVÉ PRIESTORY</w:t>
      </w:r>
    </w:p>
    <w:p w14:paraId="1111AAA0"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Mesto Spišská Belá prenajíma nebytové priestory 26 subjektom. </w:t>
      </w:r>
    </w:p>
    <w:p w14:paraId="6DCB85DA"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Celkové nájomné za nebytové priestory podľa platných nájomných zmlúv bolo za rok 2024   predpísané   vo výške  98 260,93 eur, pre porovnanie – za rok 2023 to bolo  93 010,08 eur.      Platobná disciplína nájomcov nebytových priestorov je dobrá, upomienky sú zasielané  po ročnej inventúre. K 31.12.2023 bol celkový dlh 9 266,57 eur: 2 podnikateľské subjekty mali vyšší dlh – 1 447,90 € a 7 353,40 €. Po písomnom a telefonickom upomenutí došlo k úhrade dlžnej sumy, v 6 ďalších prípadoch išlo o malé rozdiely, ktoré vznikli nepozornosťou, alebo zaokrúhľovaním.</w:t>
      </w:r>
    </w:p>
    <w:p w14:paraId="33DAF235"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Momentálne je v účtovníctve pohľadávka na nájomnom nebytových priestorov 24 798,91 eur. Nejde o dlh, ale o zatiaľ neuhradený predpis do konca roka 2024. Niektorí nájomcovia uhrádzajú nájomné na mesačnej báze, niektorí štvrťročne, podľa uzatvorených zmlúv s mestom.    </w:t>
      </w:r>
    </w:p>
    <w:p w14:paraId="718AB863" w14:textId="77777777" w:rsidR="007E7BD9" w:rsidRPr="007E7BD9" w:rsidRDefault="007E7BD9" w:rsidP="007E7BD9">
      <w:pPr>
        <w:widowControl/>
        <w:suppressAutoHyphens w:val="0"/>
        <w:spacing w:before="100" w:beforeAutospacing="1" w:after="100" w:afterAutospacing="1"/>
        <w:jc w:val="both"/>
        <w:rPr>
          <w:rFonts w:eastAsia="Times New Roman"/>
          <w:kern w:val="0"/>
          <w:u w:val="single"/>
        </w:rPr>
      </w:pPr>
      <w:r w:rsidRPr="007E7BD9">
        <w:rPr>
          <w:rFonts w:eastAsia="Times New Roman"/>
          <w:kern w:val="0"/>
          <w:u w:val="single"/>
        </w:rPr>
        <w:t>BYTY</w:t>
      </w:r>
    </w:p>
    <w:p w14:paraId="71D0A5B3"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Mesto Spišská Belá má  210 nájomných bytov, z toho prenajíma 208 a 2 sú neprenajaté: </w:t>
      </w:r>
    </w:p>
    <w:p w14:paraId="6C71A80E" w14:textId="77777777" w:rsidR="007E7BD9" w:rsidRPr="007E7BD9" w:rsidRDefault="007E7BD9" w:rsidP="007E7BD9">
      <w:pPr>
        <w:widowControl/>
        <w:numPr>
          <w:ilvl w:val="0"/>
          <w:numId w:val="5"/>
        </w:numPr>
        <w:suppressAutoHyphens w:val="0"/>
        <w:spacing w:before="100" w:beforeAutospacing="1" w:after="100" w:afterAutospacing="1" w:line="256" w:lineRule="auto"/>
        <w:jc w:val="both"/>
        <w:rPr>
          <w:rFonts w:eastAsia="Times New Roman"/>
          <w:kern w:val="0"/>
        </w:rPr>
      </w:pPr>
      <w:r w:rsidRPr="007E7BD9">
        <w:rPr>
          <w:rFonts w:eastAsia="Times New Roman"/>
          <w:kern w:val="0"/>
        </w:rPr>
        <w:t xml:space="preserve">1 byt na Hviezdoslavovej 1, ktorý je v zlom technickom stave a jeho užívanie by bolo nebezpečné – neprebiehajú opravy, </w:t>
      </w:r>
    </w:p>
    <w:p w14:paraId="5F490DCE" w14:textId="77777777" w:rsidR="007E7BD9" w:rsidRPr="007E7BD9" w:rsidRDefault="007E7BD9" w:rsidP="007E7BD9">
      <w:pPr>
        <w:widowControl/>
        <w:numPr>
          <w:ilvl w:val="0"/>
          <w:numId w:val="5"/>
        </w:numPr>
        <w:suppressAutoHyphens w:val="0"/>
        <w:spacing w:before="100" w:beforeAutospacing="1" w:after="100" w:afterAutospacing="1" w:line="256" w:lineRule="auto"/>
        <w:jc w:val="both"/>
        <w:rPr>
          <w:rFonts w:eastAsia="Times New Roman"/>
          <w:kern w:val="0"/>
        </w:rPr>
      </w:pPr>
      <w:r w:rsidRPr="007E7BD9">
        <w:rPr>
          <w:rFonts w:eastAsia="Times New Roman"/>
          <w:kern w:val="0"/>
        </w:rPr>
        <w:t>1 byt na Slnečnej 13, zámer je postupne presťahovať všetkých nájomcov z tejto lokácie, keďže bytový dom je v zlom technickom stave. 1 nájomca zo Slnečnej 13 bol presťahovaný na Slnečnú 72, byt bol odpojený od prívodu vody aj elektriny</w:t>
      </w:r>
    </w:p>
    <w:p w14:paraId="10A38742" w14:textId="1B700EED"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Jeden  byt na Hviezdoslavovej 1 má nevyhovujúce rozvody elektrickej energie. Byt je prenajatý,</w:t>
      </w:r>
      <w:r>
        <w:rPr>
          <w:rFonts w:eastAsia="Times New Roman"/>
          <w:kern w:val="0"/>
        </w:rPr>
        <w:t xml:space="preserve"> </w:t>
      </w:r>
      <w:r w:rsidRPr="007E7BD9">
        <w:rPr>
          <w:rFonts w:eastAsia="Times New Roman"/>
          <w:kern w:val="0"/>
        </w:rPr>
        <w:t xml:space="preserve"> v užívaní. Rozvody el. energie sa budú opravovať ešte toho roku. </w:t>
      </w:r>
    </w:p>
    <w:p w14:paraId="6C88A645"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Za rok 2024 bolo predpísané nájomné (spolu so zálohovými platbami na energie)  v celkovej výške 375 273,40 eur, pre porovnanie za rok 2023 to bolo  301 142,13 eur.   K 30. 9. 2024 bolo splatné  nájomné  spolu so zálohovými platbami na energie vo výške  226 161,46 eur. </w:t>
      </w:r>
    </w:p>
    <w:p w14:paraId="515FA737"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Nedoplatky:</w:t>
      </w:r>
    </w:p>
    <w:p w14:paraId="5D9ED673"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lastRenderedPageBreak/>
        <w:t xml:space="preserve"> Nedoplatky z nájomného s dobou splatnosti k 30. 9. 2024 sú  vo výške 10 078,40 eur, k tomu mesto eviduje nedoplatky dlhodobých neplatičov, ktorí už mestských bytoch nebývajú a nedoplatky sú z rôznych dôvodov nevymožiteľné.</w:t>
      </w:r>
    </w:p>
    <w:p w14:paraId="3195E214"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Porovnanie:</w:t>
      </w:r>
    </w:p>
    <w:tbl>
      <w:tblPr>
        <w:tblStyle w:val="Mriekatabuky"/>
        <w:tblW w:w="0" w:type="auto"/>
        <w:tblLook w:val="04A0" w:firstRow="1" w:lastRow="0" w:firstColumn="1" w:lastColumn="0" w:noHBand="0" w:noVBand="1"/>
      </w:tblPr>
      <w:tblGrid>
        <w:gridCol w:w="2122"/>
        <w:gridCol w:w="1984"/>
        <w:gridCol w:w="1701"/>
      </w:tblGrid>
      <w:tr w:rsidR="007E7BD9" w:rsidRPr="007E7BD9" w14:paraId="75CD02FA" w14:textId="77777777" w:rsidTr="002103BE">
        <w:tc>
          <w:tcPr>
            <w:tcW w:w="2122" w:type="dxa"/>
          </w:tcPr>
          <w:p w14:paraId="5E0EED1C"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nedoplatky</w:t>
            </w:r>
          </w:p>
        </w:tc>
        <w:tc>
          <w:tcPr>
            <w:tcW w:w="1984" w:type="dxa"/>
          </w:tcPr>
          <w:p w14:paraId="7DAB2ED3"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2023</w:t>
            </w:r>
          </w:p>
        </w:tc>
        <w:tc>
          <w:tcPr>
            <w:tcW w:w="1701" w:type="dxa"/>
          </w:tcPr>
          <w:p w14:paraId="2B3044D2"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2024</w:t>
            </w:r>
          </w:p>
        </w:tc>
      </w:tr>
      <w:tr w:rsidR="007E7BD9" w:rsidRPr="007E7BD9" w14:paraId="206A4125" w14:textId="77777777" w:rsidTr="002103BE">
        <w:tc>
          <w:tcPr>
            <w:tcW w:w="2122" w:type="dxa"/>
          </w:tcPr>
          <w:p w14:paraId="54F83717"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Dlhodobí neplatiči</w:t>
            </w:r>
          </w:p>
        </w:tc>
        <w:tc>
          <w:tcPr>
            <w:tcW w:w="1984" w:type="dxa"/>
          </w:tcPr>
          <w:p w14:paraId="51665A60"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 xml:space="preserve">   13 386,41 eur</w:t>
            </w:r>
          </w:p>
        </w:tc>
        <w:tc>
          <w:tcPr>
            <w:tcW w:w="1701" w:type="dxa"/>
          </w:tcPr>
          <w:p w14:paraId="5EA5F9BA"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13 386,41 eur</w:t>
            </w:r>
          </w:p>
        </w:tc>
      </w:tr>
      <w:tr w:rsidR="007E7BD9" w:rsidRPr="007E7BD9" w14:paraId="2262C3AC" w14:textId="77777777" w:rsidTr="002103BE">
        <w:tc>
          <w:tcPr>
            <w:tcW w:w="2122" w:type="dxa"/>
          </w:tcPr>
          <w:p w14:paraId="2751E37D"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 xml:space="preserve">30. 9.  </w:t>
            </w:r>
          </w:p>
        </w:tc>
        <w:tc>
          <w:tcPr>
            <w:tcW w:w="1984" w:type="dxa"/>
          </w:tcPr>
          <w:p w14:paraId="0B90EAFC"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 xml:space="preserve">     8 794,60 eur</w:t>
            </w:r>
          </w:p>
        </w:tc>
        <w:tc>
          <w:tcPr>
            <w:tcW w:w="1701" w:type="dxa"/>
          </w:tcPr>
          <w:p w14:paraId="51937E57"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10 078,40 eur</w:t>
            </w:r>
          </w:p>
        </w:tc>
      </w:tr>
      <w:tr w:rsidR="007E7BD9" w:rsidRPr="007E7BD9" w14:paraId="0C33F5EC" w14:textId="77777777" w:rsidTr="002103BE">
        <w:tc>
          <w:tcPr>
            <w:tcW w:w="2122" w:type="dxa"/>
          </w:tcPr>
          <w:p w14:paraId="41F95ED2"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31. 12</w:t>
            </w:r>
          </w:p>
        </w:tc>
        <w:tc>
          <w:tcPr>
            <w:tcW w:w="1984" w:type="dxa"/>
          </w:tcPr>
          <w:p w14:paraId="16B7871E"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r w:rsidRPr="007E7BD9">
              <w:rPr>
                <w:rFonts w:eastAsia="Times New Roman"/>
                <w:color w:val="000000" w:themeColor="text1"/>
                <w:kern w:val="0"/>
              </w:rPr>
              <w:t xml:space="preserve">     8 932,73 eur</w:t>
            </w:r>
          </w:p>
        </w:tc>
        <w:tc>
          <w:tcPr>
            <w:tcW w:w="1701" w:type="dxa"/>
          </w:tcPr>
          <w:p w14:paraId="19C741CC" w14:textId="77777777" w:rsidR="007E7BD9" w:rsidRPr="007E7BD9" w:rsidRDefault="007E7BD9" w:rsidP="007E7BD9">
            <w:pPr>
              <w:widowControl/>
              <w:suppressAutoHyphens w:val="0"/>
              <w:spacing w:before="100" w:beforeAutospacing="1" w:after="100" w:afterAutospacing="1"/>
              <w:rPr>
                <w:rFonts w:eastAsia="Times New Roman"/>
                <w:color w:val="000000" w:themeColor="text1"/>
                <w:kern w:val="0"/>
              </w:rPr>
            </w:pPr>
          </w:p>
        </w:tc>
      </w:tr>
    </w:tbl>
    <w:p w14:paraId="406E04CC"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V medziročnom porovnaní sa dlh na nájomnom zvýšil. Vplyv na to majú 2 faktory:</w:t>
      </w:r>
    </w:p>
    <w:p w14:paraId="57BAEA70" w14:textId="77777777" w:rsidR="007E7BD9" w:rsidRPr="007E7BD9" w:rsidRDefault="007E7BD9" w:rsidP="007E7BD9">
      <w:pPr>
        <w:widowControl/>
        <w:numPr>
          <w:ilvl w:val="0"/>
          <w:numId w:val="6"/>
        </w:numPr>
        <w:suppressAutoHyphens w:val="0"/>
        <w:spacing w:before="100" w:beforeAutospacing="1" w:after="100" w:afterAutospacing="1" w:line="256" w:lineRule="auto"/>
        <w:jc w:val="both"/>
        <w:rPr>
          <w:rFonts w:eastAsia="Times New Roman"/>
          <w:kern w:val="0"/>
        </w:rPr>
      </w:pPr>
      <w:r w:rsidRPr="007E7BD9">
        <w:rPr>
          <w:rFonts w:eastAsia="Times New Roman"/>
          <w:kern w:val="0"/>
        </w:rPr>
        <w:t>Na základe upomínania sa najskôr uhrádza najstarší dlh a postupuje sa časovo k najaktuálnejšiemu dlhu</w:t>
      </w:r>
    </w:p>
    <w:p w14:paraId="38C0ACD8" w14:textId="77777777" w:rsidR="007E7BD9" w:rsidRPr="007E7BD9" w:rsidRDefault="007E7BD9" w:rsidP="007E7BD9">
      <w:pPr>
        <w:widowControl/>
        <w:numPr>
          <w:ilvl w:val="0"/>
          <w:numId w:val="6"/>
        </w:numPr>
        <w:suppressAutoHyphens w:val="0"/>
        <w:spacing w:before="100" w:beforeAutospacing="1" w:after="100" w:afterAutospacing="1" w:line="256" w:lineRule="auto"/>
        <w:jc w:val="both"/>
        <w:rPr>
          <w:rFonts w:eastAsia="Times New Roman"/>
          <w:kern w:val="0"/>
        </w:rPr>
      </w:pPr>
      <w:r w:rsidRPr="007E7BD9">
        <w:rPr>
          <w:rFonts w:eastAsia="Times New Roman"/>
          <w:kern w:val="0"/>
        </w:rPr>
        <w:t>Od 1.7.2024 sa zvýšilo nájomné, z toho dôvodu došlo u „notorických“ neplatičov ku kumulovaniu vyšších súm dlhu na nájomnom a zároveň sa objavili aj noví neplatiči</w:t>
      </w:r>
    </w:p>
    <w:p w14:paraId="52B3B25C"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Vymáhanie:</w:t>
      </w:r>
    </w:p>
    <w:p w14:paraId="52CE4FBC"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Evidovaný dlh na nájomnom vo výške 10 078,40 eur vykazujú nájomníci, ktorí v mestských bytoch aktuálne bývajú, ale i tí, ktorí dostali výpoveď a mestské nájomné byty opustili. Z toho najvyššia pohľadávka je vo výške 1 266,01 eur (dlžník už nebýva v byte, pohľadávka je nevymožiteľná, keďže dlžník nepracuje a momentálne nevieme zistiť ani adresu na ktorej sa zdržiava), 1 140,19 eur dlží nájomca, ktorý na základe upomínania už časť dlhu (640,19 eur) uhradil v mesiaci 11/2024, ďalšie dve pohľadávky sú v rozmedzí 500,00 - 1 000,00 eur, ostatní   dlžníci majú dlh do 500,00 eur.</w:t>
      </w:r>
    </w:p>
    <w:p w14:paraId="4FD5B0BE"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Mesto zaslalo 1 neplatičovi v roku 2024 výpoveď z nájmu. Keďže nájomca pred uplynutím lehoty dlh uhradil, výpoveď mesto vzalo späť. </w:t>
      </w:r>
    </w:p>
    <w:p w14:paraId="53EA53DF"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Na mesačnej báze mesto zasiela neplatičom výzvy na zaplatenie dlžnej sumy, osobne sa nimi komunikuje, pokračuje sa v zasielaní upomienok prostredníctvom poštovej služby SIPO. Do 30. 9. 2024 bolo na základe upomienok vymožených 6 736,62 eur (uhradili sa tak väčšinou pohľadávky s dobou splatnosti do 31. 12. 2023). </w:t>
      </w:r>
    </w:p>
    <w:p w14:paraId="5FA06C99"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1. a posledná výzva na úhradu dlhu na nájomnom bola zaslaná v roku 2024 poštou 68-krát, 5 neplatiči boli predvolaní osobne sa dostaviť na MsÚ z dôvodu neplatenia nájomného. Pri osobnom stretnutí je prítomný aj zamestnanec odboru sociálnych vecí.</w:t>
      </w:r>
    </w:p>
    <w:p w14:paraId="28731A93"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V prípade dlhodobých neplatičov mesto pristúpilo k </w:t>
      </w:r>
      <w:proofErr w:type="spellStart"/>
      <w:r w:rsidRPr="007E7BD9">
        <w:rPr>
          <w:rFonts w:eastAsia="Times New Roman"/>
          <w:kern w:val="0"/>
        </w:rPr>
        <w:t>predžalobným</w:t>
      </w:r>
      <w:proofErr w:type="spellEnd"/>
      <w:r w:rsidRPr="007E7BD9">
        <w:rPr>
          <w:rFonts w:eastAsia="Times New Roman"/>
          <w:kern w:val="0"/>
        </w:rPr>
        <w:t xml:space="preserve"> výzvam. Niektorí dlh uhradili, niektorí uzavreli s mestom dohodu o uznaní a splatení dlhu. Jeden nájomca nedodržiava ani ústne ani písomne dohody, ak dlh neuhradí do konca roka 2024, mesto podá na neho žalobu a požiada súd o platobný rozkaz na zrážky zo mzdy.</w:t>
      </w:r>
    </w:p>
    <w:p w14:paraId="62CF4FF1" w14:textId="77777777" w:rsidR="007E7BD9" w:rsidRPr="007E7BD9" w:rsidRDefault="007E7BD9" w:rsidP="007E7BD9">
      <w:pPr>
        <w:widowControl/>
        <w:suppressAutoHyphens w:val="0"/>
        <w:spacing w:before="100" w:beforeAutospacing="1" w:after="100" w:afterAutospacing="1"/>
        <w:jc w:val="both"/>
        <w:rPr>
          <w:rFonts w:eastAsia="Times New Roman"/>
          <w:kern w:val="0"/>
        </w:rPr>
      </w:pPr>
      <w:r w:rsidRPr="007E7BD9">
        <w:rPr>
          <w:rFonts w:eastAsia="Times New Roman"/>
          <w:kern w:val="0"/>
        </w:rPr>
        <w:t xml:space="preserve">     Ďalej bolo preverené zverejňovanie zmlúv o nájme bytov a nebytových priestorov  na centrálnom registri zmlúv v mesiacoch júl – august 2024.</w:t>
      </w:r>
    </w:p>
    <w:p w14:paraId="463AC8E3" w14:textId="77777777" w:rsidR="007E7BD9" w:rsidRPr="007E7BD9" w:rsidRDefault="007E7BD9" w:rsidP="007E7BD9">
      <w:pPr>
        <w:widowControl/>
        <w:suppressAutoHyphens w:val="0"/>
        <w:spacing w:after="160" w:line="256" w:lineRule="auto"/>
        <w:jc w:val="both"/>
        <w:rPr>
          <w:rFonts w:eastAsiaTheme="minorEastAsia"/>
          <w:kern w:val="0"/>
        </w:rPr>
      </w:pPr>
    </w:p>
    <w:p w14:paraId="58397B5D" w14:textId="77777777" w:rsidR="007E7BD9" w:rsidRPr="007E7BD9" w:rsidRDefault="007E7BD9" w:rsidP="007E7BD9">
      <w:pPr>
        <w:widowControl/>
        <w:suppressAutoHyphens w:val="0"/>
        <w:spacing w:after="160" w:line="256" w:lineRule="auto"/>
        <w:jc w:val="both"/>
        <w:rPr>
          <w:rFonts w:eastAsiaTheme="minorEastAsia"/>
          <w:kern w:val="0"/>
        </w:rPr>
      </w:pPr>
      <w:r w:rsidRPr="007E7BD9">
        <w:rPr>
          <w:rFonts w:eastAsiaTheme="minorEastAsia"/>
          <w:kern w:val="0"/>
        </w:rPr>
        <w:lastRenderedPageBreak/>
        <w:t>Zistené nedostatky:</w:t>
      </w:r>
    </w:p>
    <w:p w14:paraId="303E82E4" w14:textId="77777777" w:rsidR="007E7BD9" w:rsidRPr="007E7BD9" w:rsidRDefault="007E7BD9" w:rsidP="007E7BD9">
      <w:pPr>
        <w:widowControl/>
        <w:suppressAutoHyphens w:val="0"/>
        <w:spacing w:after="160" w:line="256" w:lineRule="auto"/>
        <w:jc w:val="both"/>
        <w:rPr>
          <w:rFonts w:eastAsiaTheme="minorEastAsia"/>
          <w:kern w:val="0"/>
        </w:rPr>
      </w:pPr>
      <w:r w:rsidRPr="007E7BD9">
        <w:rPr>
          <w:rFonts w:eastAsiaTheme="minorEastAsia"/>
          <w:kern w:val="0"/>
        </w:rPr>
        <w:t xml:space="preserve">1.  Mesto pri zverejňovaní zmlúv o nájme bytov porušilo ustanovenie § 5a ods. 7  zákona č. 211/2000 Z. z. o slobodnom prístupe k informáciám a o zmene a doplnení niektorých zákonov v znení neskorších predpisov – povinná osoba zašle bezodkladne úradu vlády SR zmluvu na zverejnenie. Zmluvy boli zverejňované oneskorene, z kontrolovaných zverejnených zmlúv od 1. 7.  do 30. 8. 2024 bol zistený jeden nedostatok: </w:t>
      </w:r>
    </w:p>
    <w:p w14:paraId="69303214" w14:textId="77777777" w:rsidR="007E7BD9" w:rsidRPr="007E7BD9" w:rsidRDefault="007E7BD9" w:rsidP="007E7BD9">
      <w:pPr>
        <w:widowControl/>
        <w:suppressAutoHyphens w:val="0"/>
        <w:spacing w:after="160" w:line="256" w:lineRule="auto"/>
        <w:jc w:val="both"/>
        <w:rPr>
          <w:rFonts w:eastAsiaTheme="minorEastAsia"/>
          <w:kern w:val="0"/>
        </w:rPr>
      </w:pPr>
      <w:r w:rsidRPr="007E7BD9">
        <w:rPr>
          <w:rFonts w:eastAsiaTheme="minorEastAsia"/>
          <w:kern w:val="0"/>
        </w:rPr>
        <w:t>Podľa ustanovenia § 47a ods. 4 zákona č. 40/1964 Zb. Občianskeho zákonníka v znení neskorších predpisov – ak sa do troch mesiacov od uzatvorenia zmluvy  zmluva nezverejnila, platí, že k uzatvoreniu zmluvy nedošlo. Z toho vyplýva, že nájomníci bývajú v mestských bytoch a mesto vyberá nájomné bez zmluvného podkladu.</w:t>
      </w:r>
    </w:p>
    <w:p w14:paraId="78FE0D84" w14:textId="77777777" w:rsidR="007E7BD9" w:rsidRPr="007E7BD9" w:rsidRDefault="007E7BD9" w:rsidP="007E7BD9">
      <w:pPr>
        <w:widowControl/>
        <w:suppressAutoHyphens w:val="0"/>
        <w:spacing w:after="160" w:line="256" w:lineRule="auto"/>
        <w:jc w:val="both"/>
        <w:rPr>
          <w:rFonts w:eastAsiaTheme="minorEastAsia"/>
          <w:kern w:val="0"/>
        </w:rPr>
      </w:pPr>
      <w:r w:rsidRPr="007E7BD9">
        <w:rPr>
          <w:rFonts w:eastAsiaTheme="minorEastAsia"/>
          <w:kern w:val="0"/>
        </w:rPr>
        <w:t>Podľa vysvetlenia mesta, bol nájomca dlhodobo PN, telefonicky komunikoval, zmluva bola podpísaná dodatočne, následne zverejnená.</w:t>
      </w:r>
    </w:p>
    <w:p w14:paraId="45598281" w14:textId="77777777" w:rsidR="007E7BD9" w:rsidRPr="007E7BD9" w:rsidRDefault="007E7BD9" w:rsidP="007E7BD9">
      <w:pPr>
        <w:widowControl/>
        <w:suppressAutoHyphens w:val="0"/>
        <w:spacing w:after="160" w:line="256" w:lineRule="auto"/>
        <w:jc w:val="both"/>
        <w:rPr>
          <w:rFonts w:eastAsiaTheme="minorEastAsia"/>
          <w:kern w:val="0"/>
        </w:rPr>
      </w:pPr>
      <w:r w:rsidRPr="007E7BD9">
        <w:rPr>
          <w:rFonts w:eastAsiaTheme="minorEastAsia"/>
          <w:kern w:val="0"/>
        </w:rPr>
        <w:t>2.  Napriek miernemu zlepšeniu stavu – jednotlivé nedoplatky sú zabezpečované tým, že dlžníci podpisujú dohodu o uznaní dlhu, je potrebné naďalej intenzívne pracovať na úplnom znížení dlhov.</w:t>
      </w:r>
    </w:p>
    <w:p w14:paraId="15F06AF4" w14:textId="77777777" w:rsidR="007E7BD9" w:rsidRPr="007E7BD9" w:rsidRDefault="007E7BD9" w:rsidP="007E7BD9">
      <w:pPr>
        <w:widowControl/>
        <w:shd w:val="clear" w:color="auto" w:fill="FFFFFF"/>
        <w:suppressAutoHyphens w:val="0"/>
        <w:spacing w:before="100" w:beforeAutospacing="1" w:after="100" w:afterAutospacing="1" w:line="293" w:lineRule="atLeast"/>
        <w:jc w:val="both"/>
        <w:rPr>
          <w:rFonts w:eastAsiaTheme="minorEastAsia"/>
          <w:kern w:val="0"/>
        </w:rPr>
      </w:pPr>
      <w:r w:rsidRPr="007E7BD9">
        <w:rPr>
          <w:rFonts w:eastAsiaTheme="minorEastAsia"/>
          <w:kern w:val="0"/>
        </w:rPr>
        <w:t>3.  V mestských nájomných bytoch majú so súhlasom mesta sídlo 3 podnikateľské subjekty – s. r. o. (nájomcami bytov sú občania, konatelia týchto spoločností). Na základe vyjadrenia Ministerstva dopravy, odboru ekonomiky, takýmto konaním došlo k porušeniu podmienok, za ktorých bola dotácia  na rozvoj bývania poskytnutá a porušeniu zákona č. 443/2010 Z. z. v znení neskorších predpisov. Tento nedostatok som v predstihu komunikovala s vedením mesta, zatiaľ neboli prijaté opatrenia na odstránenie nedostatku.</w:t>
      </w:r>
    </w:p>
    <w:p w14:paraId="2D4D7166" w14:textId="4E83C0B7" w:rsidR="007E7BD9" w:rsidRPr="00D060F8" w:rsidRDefault="007E7BD9" w:rsidP="00D060F8">
      <w:pPr>
        <w:widowControl/>
        <w:suppressAutoHyphens w:val="0"/>
        <w:spacing w:after="160" w:line="256" w:lineRule="auto"/>
        <w:jc w:val="both"/>
        <w:rPr>
          <w:rFonts w:eastAsiaTheme="minorEastAsia"/>
          <w:kern w:val="0"/>
        </w:rPr>
      </w:pPr>
      <w:r w:rsidRPr="007E7BD9">
        <w:rPr>
          <w:rFonts w:eastAsiaTheme="minorEastAsia"/>
          <w:kern w:val="0"/>
        </w:rPr>
        <w:t>4.  V bytovom dome na ulici Štefánikova 18 sú okrem mesta aj ďalší vlastníci bytov. Z toho dôvodu   je   mesto  povinné upraviť správu domu  v zmysle  ustanovenia   §  6   ods. 1          zákona č. 182/1993 Z. z. o vlastníctve bytov a nebytových  priestorov – spoločenstvom vlastníkov bytov alebo správcom.</w:t>
      </w:r>
    </w:p>
    <w:p w14:paraId="3CC171F5" w14:textId="2871B657" w:rsidR="007A293D" w:rsidRDefault="007A293D" w:rsidP="007A293D">
      <w:pPr>
        <w:tabs>
          <w:tab w:val="left" w:pos="495"/>
        </w:tabs>
        <w:autoSpaceDN w:val="0"/>
        <w:textAlignment w:val="baseline"/>
        <w:rPr>
          <w:rFonts w:eastAsia="Calibri"/>
          <w:b/>
          <w:kern w:val="0"/>
          <w:lang w:eastAsia="en-US"/>
        </w:rPr>
      </w:pPr>
    </w:p>
    <w:bookmarkEnd w:id="3"/>
    <w:p w14:paraId="174A77FF" w14:textId="2EA01649" w:rsidR="004530D0" w:rsidRPr="00D060F8" w:rsidRDefault="007E7BD9" w:rsidP="004530D0">
      <w:pPr>
        <w:widowControl/>
        <w:numPr>
          <w:ilvl w:val="0"/>
          <w:numId w:val="2"/>
        </w:numPr>
        <w:suppressAutoHyphens w:val="0"/>
        <w:autoSpaceDN w:val="0"/>
        <w:spacing w:before="240" w:after="160" w:line="259" w:lineRule="auto"/>
        <w:contextualSpacing/>
        <w:jc w:val="both"/>
        <w:rPr>
          <w:b/>
        </w:rPr>
      </w:pPr>
      <w:r>
        <w:rPr>
          <w:rFonts w:eastAsia="Calibri"/>
          <w:b/>
          <w:kern w:val="0"/>
          <w:lang w:eastAsia="en-US"/>
        </w:rPr>
        <w:t>Kontrola</w:t>
      </w:r>
      <w:r w:rsidR="007A293D" w:rsidRPr="007A293D">
        <w:rPr>
          <w:rFonts w:eastAsia="Calibri"/>
          <w:b/>
          <w:kern w:val="0"/>
          <w:lang w:eastAsia="en-US"/>
        </w:rPr>
        <w:t xml:space="preserve"> </w:t>
      </w:r>
      <w:r w:rsidR="007A293D" w:rsidRPr="007A293D">
        <w:rPr>
          <w:rFonts w:eastAsia="Calibri"/>
          <w:b/>
          <w:kern w:val="0"/>
          <w:lang w:eastAsia="en-US"/>
        </w:rPr>
        <w:t>vykonávani</w:t>
      </w:r>
      <w:r>
        <w:rPr>
          <w:rFonts w:eastAsia="Calibri"/>
          <w:b/>
          <w:kern w:val="0"/>
          <w:lang w:eastAsia="en-US"/>
        </w:rPr>
        <w:t>a</w:t>
      </w:r>
      <w:r w:rsidR="007A293D" w:rsidRPr="007A293D">
        <w:rPr>
          <w:rFonts w:eastAsia="Calibri"/>
          <w:b/>
          <w:kern w:val="0"/>
          <w:lang w:eastAsia="en-US"/>
        </w:rPr>
        <w:t xml:space="preserve"> základnej </w:t>
      </w:r>
      <w:r>
        <w:rPr>
          <w:rFonts w:eastAsia="Calibri"/>
          <w:b/>
          <w:kern w:val="0"/>
          <w:lang w:eastAsia="en-US"/>
        </w:rPr>
        <w:t xml:space="preserve"> </w:t>
      </w:r>
      <w:r w:rsidR="007A293D" w:rsidRPr="007A293D">
        <w:rPr>
          <w:rFonts w:eastAsia="Calibri"/>
          <w:b/>
          <w:kern w:val="0"/>
          <w:lang w:eastAsia="en-US"/>
        </w:rPr>
        <w:t xml:space="preserve">finančnej </w:t>
      </w:r>
      <w:r>
        <w:rPr>
          <w:rFonts w:eastAsia="Calibri"/>
          <w:b/>
          <w:kern w:val="0"/>
          <w:lang w:eastAsia="en-US"/>
        </w:rPr>
        <w:t xml:space="preserve"> </w:t>
      </w:r>
      <w:r w:rsidR="007A293D" w:rsidRPr="007A293D">
        <w:rPr>
          <w:rFonts w:eastAsia="Calibri"/>
          <w:b/>
          <w:kern w:val="0"/>
          <w:lang w:eastAsia="en-US"/>
        </w:rPr>
        <w:t xml:space="preserve">kontroly </w:t>
      </w:r>
      <w:r>
        <w:rPr>
          <w:rFonts w:eastAsia="Calibri"/>
          <w:b/>
          <w:kern w:val="0"/>
          <w:lang w:eastAsia="en-US"/>
        </w:rPr>
        <w:t xml:space="preserve"> </w:t>
      </w:r>
      <w:r w:rsidR="007A293D" w:rsidRPr="007A293D">
        <w:rPr>
          <w:rFonts w:eastAsia="Calibri"/>
          <w:b/>
          <w:kern w:val="0"/>
          <w:lang w:eastAsia="en-US"/>
        </w:rPr>
        <w:t>na objednávkach mesta k </w:t>
      </w:r>
      <w:r w:rsidR="00780478">
        <w:rPr>
          <w:rFonts w:eastAsia="Calibri"/>
          <w:b/>
          <w:kern w:val="0"/>
          <w:lang w:eastAsia="en-US"/>
        </w:rPr>
        <w:t>1</w:t>
      </w:r>
      <w:r w:rsidR="007A293D" w:rsidRPr="007A293D">
        <w:rPr>
          <w:rFonts w:eastAsia="Calibri"/>
          <w:b/>
          <w:kern w:val="0"/>
          <w:lang w:eastAsia="en-US"/>
        </w:rPr>
        <w:t>4. 10. 2024</w:t>
      </w:r>
    </w:p>
    <w:p w14:paraId="3235AFA1" w14:textId="509F7666" w:rsidR="007E7BD9" w:rsidRDefault="007E7BD9" w:rsidP="004530D0">
      <w:pPr>
        <w:widowControl/>
        <w:suppressAutoHyphens w:val="0"/>
        <w:autoSpaceDN w:val="0"/>
        <w:spacing w:before="240" w:after="160" w:line="259" w:lineRule="auto"/>
        <w:contextualSpacing/>
        <w:jc w:val="both"/>
        <w:rPr>
          <w:b/>
        </w:rPr>
      </w:pPr>
    </w:p>
    <w:p w14:paraId="108E08C4" w14:textId="04CAA7C9" w:rsidR="007E7BD9" w:rsidRPr="007E7BD9" w:rsidRDefault="001C4260" w:rsidP="004530D0">
      <w:pPr>
        <w:widowControl/>
        <w:suppressAutoHyphens w:val="0"/>
        <w:autoSpaceDN w:val="0"/>
        <w:spacing w:before="240" w:after="160" w:line="259" w:lineRule="auto"/>
        <w:contextualSpacing/>
        <w:jc w:val="both"/>
      </w:pPr>
      <w:r>
        <w:t xml:space="preserve">     </w:t>
      </w:r>
      <w:r w:rsidR="007E7BD9">
        <w:t>Kontrolou bolo preverené, či všetky vystavené objednávky zo strany mesta k určenému termínu mali vykonanú základnú finančnú kontrolu, to znamená, že finančnou kontrolou bol o</w:t>
      </w:r>
      <w:r>
        <w:t>v</w:t>
      </w:r>
      <w:r w:rsidR="007E7BD9">
        <w:t>erený súlad každej finančnej operácie, alebo jej časti. s rozpočtom mesta.</w:t>
      </w:r>
      <w:r w:rsidR="00780478">
        <w:t xml:space="preserve"> Kontrola bola vykonaná výberovým spôsobom – objednávky vystavené v septembri až do 14. 10. 2024.</w:t>
      </w:r>
      <w:r w:rsidR="007E7BD9">
        <w:t xml:space="preserve"> Vzhľadom na </w:t>
      </w:r>
      <w:r>
        <w:t xml:space="preserve">aktuálne </w:t>
      </w:r>
      <w:r w:rsidR="007E7BD9">
        <w:t xml:space="preserve">krátenie podielových daní pre samosprávu v kontrolovanom období a personálne zmeny na mestskom úrade, som preverila, či mesto má rozpočtované financie a reálne disponuje s financiami, ktorými bude kryť plnenie z týchto </w:t>
      </w:r>
      <w:r>
        <w:t xml:space="preserve">objednávok. K dátumu </w:t>
      </w:r>
      <w:r w:rsidR="00780478">
        <w:t>1</w:t>
      </w:r>
      <w:r>
        <w:t>4. 10. 2024 som nezistila nedostatky vo vykonávaní základnej finančnej kontroly na vystavených objednávkach.  Zároveň som odporúčala primátorovi mesta, aby sa prijal postup na efektívne vykonávanie finančnej kontroly, vzhľadom na externé umiestnenie pracovísk jednotlivých zodpovedných zamestnancov, aby bolo zabezpečené</w:t>
      </w:r>
      <w:r w:rsidR="00780478">
        <w:t xml:space="preserve"> reálne overenie </w:t>
      </w:r>
      <w:r>
        <w:t xml:space="preserve"> súlad</w:t>
      </w:r>
      <w:r w:rsidR="00780478">
        <w:t>u</w:t>
      </w:r>
      <w:r>
        <w:t xml:space="preserve"> s rozpočtom a finančným krytím jednotlivých operácií, až potom  zadáva</w:t>
      </w:r>
      <w:r w:rsidR="00780478">
        <w:t>nie</w:t>
      </w:r>
      <w:r>
        <w:t xml:space="preserve"> objednáv</w:t>
      </w:r>
      <w:r w:rsidR="00780478">
        <w:t>ok</w:t>
      </w:r>
      <w:r>
        <w:t xml:space="preserve">. </w:t>
      </w:r>
    </w:p>
    <w:p w14:paraId="04923724" w14:textId="77777777" w:rsidR="005C66D5" w:rsidRDefault="005C66D5"/>
    <w:sectPr w:rsidR="005C6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8A3"/>
    <w:multiLevelType w:val="hybridMultilevel"/>
    <w:tmpl w:val="649622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921914"/>
    <w:multiLevelType w:val="hybridMultilevel"/>
    <w:tmpl w:val="351CD2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3E2D21"/>
    <w:multiLevelType w:val="hybridMultilevel"/>
    <w:tmpl w:val="9348D83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277E1B"/>
    <w:multiLevelType w:val="hybridMultilevel"/>
    <w:tmpl w:val="231C4460"/>
    <w:lvl w:ilvl="0" w:tplc="9E440870">
      <w:numFmt w:val="bullet"/>
      <w:lvlText w:val="-"/>
      <w:lvlJc w:val="left"/>
      <w:pPr>
        <w:ind w:left="720" w:hanging="360"/>
      </w:pPr>
      <w:rPr>
        <w:rFonts w:ascii="Times New Roman" w:eastAsia="Andale Sans U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2722BA4"/>
    <w:multiLevelType w:val="hybridMultilevel"/>
    <w:tmpl w:val="D0C6C3EE"/>
    <w:lvl w:ilvl="0" w:tplc="5F8E385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D9B17E8"/>
    <w:multiLevelType w:val="hybridMultilevel"/>
    <w:tmpl w:val="C6CABC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BA"/>
    <w:rsid w:val="001C4260"/>
    <w:rsid w:val="00351C79"/>
    <w:rsid w:val="004530D0"/>
    <w:rsid w:val="005934BA"/>
    <w:rsid w:val="005C66D5"/>
    <w:rsid w:val="00780478"/>
    <w:rsid w:val="007A293D"/>
    <w:rsid w:val="007E7BD9"/>
    <w:rsid w:val="00B374F1"/>
    <w:rsid w:val="00D06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081A"/>
  <w15:chartTrackingRefBased/>
  <w15:docId w15:val="{55E7AACE-A5D3-4C65-B9F3-CAFB6BF9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530D0"/>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5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530D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Odsekzoznamu">
    <w:name w:val="List Paragraph"/>
    <w:basedOn w:val="Normlny"/>
    <w:uiPriority w:val="34"/>
    <w:qFormat/>
    <w:rsid w:val="00453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1390</Words>
  <Characters>7928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TOMALOVÁ Slávka</dc:creator>
  <cp:keywords/>
  <dc:description/>
  <cp:lastModifiedBy>TOMALOVÁ Slávka</cp:lastModifiedBy>
  <cp:revision>4</cp:revision>
  <dcterms:created xsi:type="dcterms:W3CDTF">2024-12-08T20:23:00Z</dcterms:created>
  <dcterms:modified xsi:type="dcterms:W3CDTF">2024-12-08T21:15:00Z</dcterms:modified>
</cp:coreProperties>
</file>