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F0051" w14:textId="77777777" w:rsidR="00DA0F00" w:rsidRPr="001E71F3" w:rsidRDefault="00DA0F00" w:rsidP="00DA0F00">
      <w:pPr>
        <w:suppressAutoHyphens/>
        <w:jc w:val="center"/>
        <w:rPr>
          <w:rFonts w:ascii="Calibri" w:eastAsia="Andale Sans UI" w:hAnsi="Calibri" w:cs="Tahoma"/>
          <w:kern w:val="3"/>
          <w:sz w:val="24"/>
          <w:szCs w:val="24"/>
          <w:lang w:val="de-DE" w:eastAsia="ja-JP" w:bidi="fa-IR"/>
        </w:rPr>
      </w:pPr>
      <w:r w:rsidRPr="001E71F3">
        <w:rPr>
          <w:rFonts w:eastAsia="Andale Sans UI" w:cs="Tahoma"/>
          <w:b/>
          <w:bCs/>
          <w:kern w:val="3"/>
          <w:sz w:val="28"/>
          <w:szCs w:val="28"/>
          <w:lang w:val="de-DE" w:eastAsia="ja-JP" w:bidi="fa-IR"/>
        </w:rPr>
        <w:t>S T A N O V I S K O</w:t>
      </w:r>
    </w:p>
    <w:p w14:paraId="42CBC8F7" w14:textId="77777777" w:rsidR="00DA0F00" w:rsidRPr="001E71F3" w:rsidRDefault="00DA0F00" w:rsidP="00DA0F00">
      <w:pPr>
        <w:adjustRightInd w:val="0"/>
        <w:jc w:val="center"/>
        <w:rPr>
          <w:b/>
          <w:bCs/>
          <w:color w:val="000000"/>
          <w:sz w:val="28"/>
          <w:szCs w:val="28"/>
        </w:rPr>
      </w:pPr>
      <w:r w:rsidRPr="001E71F3">
        <w:rPr>
          <w:b/>
          <w:bCs/>
          <w:color w:val="000000"/>
          <w:sz w:val="28"/>
          <w:szCs w:val="28"/>
        </w:rPr>
        <w:t>hlavnej  kontrolórky mesta Spišská Belá k dodržaniu podmienok na prijatie návratných zdrojov financovania</w:t>
      </w:r>
    </w:p>
    <w:p w14:paraId="28A2772E" w14:textId="77777777" w:rsidR="00DA0F00" w:rsidRDefault="00DA0F00" w:rsidP="00DA0F00">
      <w:pPr>
        <w:pStyle w:val="Zkladntext"/>
        <w:spacing w:before="8"/>
        <w:rPr>
          <w:b/>
          <w:sz w:val="25"/>
        </w:rPr>
      </w:pPr>
    </w:p>
    <w:p w14:paraId="32847890" w14:textId="744982F5" w:rsidR="00912DA6" w:rsidRDefault="00DA0F00" w:rsidP="00912DA6">
      <w:pPr>
        <w:pStyle w:val="Zkladntext"/>
        <w:ind w:left="121" w:right="508"/>
        <w:jc w:val="both"/>
      </w:pPr>
      <w:r>
        <w:rPr>
          <w:color w:val="000000"/>
        </w:rPr>
        <w:t xml:space="preserve"> </w:t>
      </w:r>
      <w:r w:rsidR="00912DA6">
        <w:rPr>
          <w:color w:val="000000"/>
        </w:rPr>
        <w:t xml:space="preserve">     </w:t>
      </w:r>
      <w:r>
        <w:rPr>
          <w:color w:val="000000"/>
        </w:rPr>
        <w:t>Podľa ustanovenia</w:t>
      </w:r>
      <w:r>
        <w:t xml:space="preserve">. § 17 ods. </w:t>
      </w:r>
      <w:r>
        <w:rPr>
          <w:color w:val="000000"/>
        </w:rPr>
        <w:t>14 zákona č. 583/2004 Z. z. o rozpočtových pravidlách územnej samosprávy a o zmene a doplnení niektorých zákonov v znení neskorších predpisov (ďalej len zákon č. 583/2004 Z. z.) je povinnosťou hlavného kontrolóra preveriť dodržanie podmienok pre prijatie návratných zdrojov financovania pred ich prijatím. Porušenie podmienok pre prijatie návratných zdrojov financovania je hlavný kontrolór povinný bezodkladne oznámiť ministerstvu financií.</w:t>
      </w:r>
      <w:r w:rsidRPr="001E71F3">
        <w:rPr>
          <w:color w:val="000000"/>
        </w:rPr>
        <w:t xml:space="preserve">   </w:t>
      </w:r>
    </w:p>
    <w:p w14:paraId="24D757CD" w14:textId="1C1025BD" w:rsidR="007F0E3A" w:rsidRDefault="00DA0F00" w:rsidP="00912DA6">
      <w:pPr>
        <w:pStyle w:val="Zkladntext"/>
        <w:ind w:left="121" w:right="508"/>
        <w:jc w:val="both"/>
        <w:rPr>
          <w:color w:val="000000"/>
        </w:rPr>
      </w:pPr>
      <w:r w:rsidRPr="001E71F3">
        <w:rPr>
          <w:color w:val="000000"/>
        </w:rPr>
        <w:t xml:space="preserve"> </w:t>
      </w:r>
    </w:p>
    <w:p w14:paraId="79041416" w14:textId="4DCF6BFC" w:rsidR="00912DA6" w:rsidRDefault="007F0E3A" w:rsidP="007F0E3A">
      <w:pPr>
        <w:adjustRightInd w:val="0"/>
        <w:jc w:val="both"/>
        <w:rPr>
          <w:color w:val="000000"/>
          <w:sz w:val="24"/>
          <w:szCs w:val="24"/>
        </w:rPr>
      </w:pPr>
      <w:r w:rsidRPr="001E71F3">
        <w:rPr>
          <w:color w:val="000000"/>
          <w:sz w:val="24"/>
          <w:szCs w:val="24"/>
        </w:rPr>
        <w:t xml:space="preserve">    </w:t>
      </w:r>
      <w:r w:rsidR="00912DA6">
        <w:rPr>
          <w:color w:val="000000"/>
          <w:sz w:val="24"/>
          <w:szCs w:val="24"/>
        </w:rPr>
        <w:t xml:space="preserve">  </w:t>
      </w:r>
      <w:r w:rsidRPr="001E71F3">
        <w:rPr>
          <w:color w:val="000000"/>
          <w:sz w:val="24"/>
          <w:szCs w:val="24"/>
        </w:rPr>
        <w:t xml:space="preserve"> Podľa </w:t>
      </w:r>
      <w:r>
        <w:rPr>
          <w:color w:val="000000"/>
          <w:sz w:val="24"/>
          <w:szCs w:val="24"/>
        </w:rPr>
        <w:t xml:space="preserve"> </w:t>
      </w:r>
      <w:r w:rsidRPr="001E71F3">
        <w:rPr>
          <w:color w:val="000000"/>
          <w:sz w:val="24"/>
          <w:szCs w:val="24"/>
        </w:rPr>
        <w:t>§</w:t>
      </w:r>
      <w:r>
        <w:rPr>
          <w:color w:val="000000"/>
          <w:sz w:val="24"/>
          <w:szCs w:val="24"/>
        </w:rPr>
        <w:t xml:space="preserve"> </w:t>
      </w:r>
      <w:r w:rsidRPr="001E71F3">
        <w:rPr>
          <w:color w:val="000000"/>
          <w:sz w:val="24"/>
          <w:szCs w:val="24"/>
        </w:rPr>
        <w:t xml:space="preserve">11 </w:t>
      </w:r>
      <w:r>
        <w:rPr>
          <w:color w:val="000000"/>
          <w:sz w:val="24"/>
          <w:szCs w:val="24"/>
        </w:rPr>
        <w:t xml:space="preserve"> </w:t>
      </w:r>
      <w:r w:rsidRPr="001E71F3">
        <w:rPr>
          <w:color w:val="000000"/>
          <w:sz w:val="24"/>
          <w:szCs w:val="24"/>
        </w:rPr>
        <w:t xml:space="preserve">ods. </w:t>
      </w:r>
      <w:r>
        <w:rPr>
          <w:color w:val="000000"/>
          <w:sz w:val="24"/>
          <w:szCs w:val="24"/>
        </w:rPr>
        <w:t xml:space="preserve"> </w:t>
      </w:r>
      <w:r w:rsidRPr="001E71F3">
        <w:rPr>
          <w:color w:val="000000"/>
          <w:sz w:val="24"/>
          <w:szCs w:val="24"/>
        </w:rPr>
        <w:t xml:space="preserve">4 písm. b) </w:t>
      </w:r>
      <w:r w:rsidR="00912DA6">
        <w:rPr>
          <w:color w:val="000000"/>
          <w:sz w:val="24"/>
          <w:szCs w:val="24"/>
        </w:rPr>
        <w:t xml:space="preserve">  </w:t>
      </w:r>
      <w:r w:rsidRPr="001E71F3">
        <w:rPr>
          <w:color w:val="000000"/>
          <w:sz w:val="24"/>
          <w:szCs w:val="24"/>
        </w:rPr>
        <w:t xml:space="preserve">zákona </w:t>
      </w:r>
      <w:r w:rsidR="00912DA6">
        <w:rPr>
          <w:color w:val="000000"/>
          <w:sz w:val="24"/>
          <w:szCs w:val="24"/>
        </w:rPr>
        <w:t xml:space="preserve">  </w:t>
      </w:r>
      <w:r w:rsidRPr="001E71F3">
        <w:rPr>
          <w:color w:val="000000"/>
          <w:sz w:val="24"/>
          <w:szCs w:val="24"/>
        </w:rPr>
        <w:t>č.</w:t>
      </w:r>
      <w:r w:rsidR="00912DA6">
        <w:rPr>
          <w:color w:val="000000"/>
          <w:sz w:val="24"/>
          <w:szCs w:val="24"/>
        </w:rPr>
        <w:t xml:space="preserve"> </w:t>
      </w:r>
      <w:r w:rsidRPr="001E71F3">
        <w:rPr>
          <w:color w:val="000000"/>
          <w:sz w:val="24"/>
          <w:szCs w:val="24"/>
        </w:rPr>
        <w:t xml:space="preserve"> 369/1990 Zb. o obecnom zriadení v znení neskorších </w:t>
      </w:r>
    </w:p>
    <w:p w14:paraId="2B077637" w14:textId="4D11531F" w:rsidR="0022546C" w:rsidRPr="008627CB" w:rsidRDefault="007F0E3A" w:rsidP="008627CB">
      <w:pPr>
        <w:adjustRightInd w:val="0"/>
        <w:jc w:val="both"/>
        <w:rPr>
          <w:color w:val="000000"/>
          <w:sz w:val="24"/>
          <w:szCs w:val="24"/>
        </w:rPr>
      </w:pPr>
      <w:r>
        <w:rPr>
          <w:color w:val="000000"/>
          <w:sz w:val="24"/>
          <w:szCs w:val="24"/>
        </w:rPr>
        <w:t xml:space="preserve">  </w:t>
      </w:r>
      <w:r w:rsidRPr="001E71F3">
        <w:rPr>
          <w:color w:val="000000"/>
          <w:sz w:val="24"/>
          <w:szCs w:val="24"/>
        </w:rPr>
        <w:t xml:space="preserve">predpisov rozhodovať o prijatí úveru je vyhradené </w:t>
      </w:r>
      <w:r w:rsidRPr="00B47643">
        <w:rPr>
          <w:color w:val="000000"/>
          <w:sz w:val="24"/>
          <w:szCs w:val="24"/>
        </w:rPr>
        <w:t>obecnému</w:t>
      </w:r>
      <w:r w:rsidRPr="001E71F3">
        <w:rPr>
          <w:color w:val="000000"/>
          <w:sz w:val="24"/>
          <w:szCs w:val="24"/>
        </w:rPr>
        <w:t xml:space="preserve"> zastupiteľstvu. </w:t>
      </w:r>
      <w:r w:rsidR="00B437C6">
        <w:rPr>
          <w:color w:val="000000"/>
        </w:rPr>
        <w:t xml:space="preserve"> </w:t>
      </w:r>
    </w:p>
    <w:p w14:paraId="6A4ABAAD" w14:textId="77777777" w:rsidR="00FE35B3" w:rsidRDefault="00FE35B3" w:rsidP="00912DA6">
      <w:pPr>
        <w:pStyle w:val="Zkladntext"/>
        <w:spacing w:before="92"/>
        <w:ind w:right="553"/>
        <w:jc w:val="both"/>
      </w:pPr>
    </w:p>
    <w:p w14:paraId="25D6EE0A" w14:textId="77777777" w:rsidR="0022546C" w:rsidRPr="001E71F3" w:rsidRDefault="0022546C" w:rsidP="0022546C">
      <w:pPr>
        <w:adjustRightInd w:val="0"/>
        <w:rPr>
          <w:color w:val="000000"/>
          <w:sz w:val="24"/>
          <w:szCs w:val="24"/>
        </w:rPr>
      </w:pPr>
      <w:r w:rsidRPr="001E71F3">
        <w:rPr>
          <w:b/>
          <w:bCs/>
          <w:color w:val="000000"/>
          <w:sz w:val="24"/>
          <w:szCs w:val="24"/>
        </w:rPr>
        <w:t xml:space="preserve">Základné údaje o úvere </w:t>
      </w:r>
    </w:p>
    <w:p w14:paraId="4176CEB9" w14:textId="77777777" w:rsidR="0022546C" w:rsidRPr="001E71F3" w:rsidRDefault="0022546C" w:rsidP="0022546C">
      <w:pPr>
        <w:adjustRightInd w:val="0"/>
        <w:rPr>
          <w:color w:val="000000"/>
          <w:sz w:val="24"/>
          <w:szCs w:val="24"/>
        </w:rPr>
      </w:pPr>
    </w:p>
    <w:p w14:paraId="05E567ED" w14:textId="0BE849B7" w:rsidR="0022546C" w:rsidRPr="001E71F3" w:rsidRDefault="0022546C" w:rsidP="0022546C">
      <w:pPr>
        <w:adjustRightInd w:val="0"/>
        <w:rPr>
          <w:color w:val="000000"/>
          <w:sz w:val="24"/>
          <w:szCs w:val="24"/>
        </w:rPr>
      </w:pPr>
      <w:r w:rsidRPr="001E71F3">
        <w:rPr>
          <w:color w:val="000000"/>
          <w:sz w:val="24"/>
          <w:szCs w:val="24"/>
        </w:rPr>
        <w:t xml:space="preserve">Druh úveru:   </w:t>
      </w:r>
      <w:r w:rsidR="008568C1">
        <w:rPr>
          <w:color w:val="000000"/>
          <w:sz w:val="24"/>
          <w:szCs w:val="24"/>
        </w:rPr>
        <w:t xml:space="preserve">   </w:t>
      </w:r>
      <w:r w:rsidR="001058E4">
        <w:rPr>
          <w:color w:val="000000"/>
          <w:sz w:val="24"/>
          <w:szCs w:val="24"/>
        </w:rPr>
        <w:t xml:space="preserve">        </w:t>
      </w:r>
      <w:r w:rsidR="008568C1">
        <w:rPr>
          <w:color w:val="000000"/>
          <w:sz w:val="24"/>
          <w:szCs w:val="24"/>
        </w:rPr>
        <w:t>Dlhodobý investičný úver</w:t>
      </w:r>
    </w:p>
    <w:p w14:paraId="4CD0A4F8" w14:textId="79B7669B" w:rsidR="0022546C" w:rsidRDefault="0022546C" w:rsidP="0022546C">
      <w:pPr>
        <w:adjustRightInd w:val="0"/>
        <w:rPr>
          <w:color w:val="000000"/>
          <w:sz w:val="24"/>
          <w:szCs w:val="24"/>
        </w:rPr>
      </w:pPr>
      <w:r w:rsidRPr="001E71F3">
        <w:rPr>
          <w:color w:val="000000"/>
          <w:sz w:val="24"/>
          <w:szCs w:val="24"/>
        </w:rPr>
        <w:t xml:space="preserve">Výška úveru:  </w:t>
      </w:r>
      <w:r w:rsidR="008568C1">
        <w:rPr>
          <w:color w:val="000000"/>
          <w:sz w:val="24"/>
          <w:szCs w:val="24"/>
        </w:rPr>
        <w:t xml:space="preserve">   </w:t>
      </w:r>
      <w:r w:rsidR="001058E4">
        <w:rPr>
          <w:color w:val="000000"/>
          <w:sz w:val="24"/>
          <w:szCs w:val="24"/>
        </w:rPr>
        <w:t xml:space="preserve">       1 500 000,00 eur</w:t>
      </w:r>
    </w:p>
    <w:p w14:paraId="1A800E95" w14:textId="38BC8CCC" w:rsidR="008627CB" w:rsidRDefault="0022546C" w:rsidP="001058E4">
      <w:pPr>
        <w:rPr>
          <w:sz w:val="24"/>
          <w:szCs w:val="24"/>
        </w:rPr>
      </w:pPr>
      <w:r w:rsidRPr="001058E4">
        <w:rPr>
          <w:color w:val="000000"/>
          <w:sz w:val="24"/>
          <w:szCs w:val="24"/>
        </w:rPr>
        <w:t>Úroková sadzba:</w:t>
      </w:r>
      <w:r w:rsidR="001058E4">
        <w:rPr>
          <w:color w:val="000000"/>
          <w:sz w:val="24"/>
          <w:szCs w:val="24"/>
        </w:rPr>
        <w:t xml:space="preserve"> </w:t>
      </w:r>
      <w:r w:rsidRPr="001058E4">
        <w:rPr>
          <w:color w:val="000000"/>
          <w:sz w:val="24"/>
          <w:szCs w:val="24"/>
        </w:rPr>
        <w:t xml:space="preserve"> </w:t>
      </w:r>
      <w:r w:rsidR="001058E4" w:rsidRPr="001058E4">
        <w:rPr>
          <w:color w:val="000000"/>
          <w:sz w:val="24"/>
          <w:szCs w:val="24"/>
        </w:rPr>
        <w:t xml:space="preserve">     </w:t>
      </w:r>
      <w:r w:rsidR="008627CB">
        <w:rPr>
          <w:color w:val="000000"/>
          <w:sz w:val="24"/>
          <w:szCs w:val="24"/>
        </w:rPr>
        <w:t xml:space="preserve">1. </w:t>
      </w:r>
      <w:r w:rsidR="00D72524">
        <w:rPr>
          <w:color w:val="000000"/>
          <w:sz w:val="24"/>
          <w:szCs w:val="24"/>
        </w:rPr>
        <w:t>alternatíva</w:t>
      </w:r>
      <w:r w:rsidR="008627CB">
        <w:rPr>
          <w:color w:val="000000"/>
          <w:sz w:val="24"/>
          <w:szCs w:val="24"/>
        </w:rPr>
        <w:t xml:space="preserve"> - </w:t>
      </w:r>
      <w:r w:rsidR="001058E4" w:rsidRPr="001058E4">
        <w:rPr>
          <w:sz w:val="24"/>
          <w:szCs w:val="24"/>
        </w:rPr>
        <w:t xml:space="preserve">fixná </w:t>
      </w:r>
      <w:r w:rsidR="001B1BA9">
        <w:rPr>
          <w:sz w:val="24"/>
          <w:szCs w:val="24"/>
        </w:rPr>
        <w:t>2,99</w:t>
      </w:r>
      <w:r w:rsidR="001058E4" w:rsidRPr="001058E4">
        <w:rPr>
          <w:sz w:val="24"/>
          <w:szCs w:val="24"/>
        </w:rPr>
        <w:t xml:space="preserve"> % p.a., </w:t>
      </w:r>
    </w:p>
    <w:p w14:paraId="1BEEE8D1" w14:textId="18AE46D5" w:rsidR="008627CB" w:rsidRDefault="008627CB" w:rsidP="001058E4">
      <w:pPr>
        <w:rPr>
          <w:sz w:val="24"/>
          <w:szCs w:val="24"/>
        </w:rPr>
      </w:pPr>
      <w:r>
        <w:rPr>
          <w:sz w:val="24"/>
          <w:szCs w:val="24"/>
        </w:rPr>
        <w:t xml:space="preserve">                                  2. </w:t>
      </w:r>
      <w:r w:rsidR="00D72524">
        <w:rPr>
          <w:sz w:val="24"/>
          <w:szCs w:val="24"/>
        </w:rPr>
        <w:t>alternatíva</w:t>
      </w:r>
      <w:r w:rsidR="00130D55">
        <w:rPr>
          <w:sz w:val="24"/>
          <w:szCs w:val="24"/>
        </w:rPr>
        <w:t xml:space="preserve"> -</w:t>
      </w:r>
      <w:r>
        <w:rPr>
          <w:sz w:val="24"/>
          <w:szCs w:val="24"/>
        </w:rPr>
        <w:t xml:space="preserve"> </w:t>
      </w:r>
      <w:r w:rsidR="001058E4" w:rsidRPr="001058E4">
        <w:rPr>
          <w:sz w:val="24"/>
          <w:szCs w:val="24"/>
        </w:rPr>
        <w:t xml:space="preserve">variabilná: </w:t>
      </w:r>
      <w:r>
        <w:rPr>
          <w:sz w:val="24"/>
          <w:szCs w:val="24"/>
        </w:rPr>
        <w:t xml:space="preserve">1M </w:t>
      </w:r>
      <w:r w:rsidR="001058E4" w:rsidRPr="001058E4">
        <w:rPr>
          <w:sz w:val="24"/>
          <w:szCs w:val="24"/>
        </w:rPr>
        <w:t>EURIBOR p.a + marža 0,1 % p.a..</w:t>
      </w:r>
      <w:r w:rsidR="00FD25EF">
        <w:rPr>
          <w:sz w:val="24"/>
          <w:szCs w:val="24"/>
        </w:rPr>
        <w:t xml:space="preserve"> </w:t>
      </w:r>
    </w:p>
    <w:p w14:paraId="3BD62D04" w14:textId="78F0EE09" w:rsidR="001058E4" w:rsidRPr="001058E4" w:rsidRDefault="008627CB" w:rsidP="001058E4">
      <w:pPr>
        <w:rPr>
          <w:sz w:val="24"/>
          <w:szCs w:val="24"/>
        </w:rPr>
      </w:pPr>
      <w:r>
        <w:rPr>
          <w:sz w:val="24"/>
          <w:szCs w:val="24"/>
        </w:rPr>
        <w:t xml:space="preserve">                                  (1M EURIBOR k 26. 7. 2024  3,64 + 0,1 = 3,74 % úrok)</w:t>
      </w:r>
    </w:p>
    <w:p w14:paraId="26BB75D8" w14:textId="77777777" w:rsidR="00C62318" w:rsidRDefault="0022546C" w:rsidP="00C62318">
      <w:pPr>
        <w:adjustRightInd w:val="0"/>
        <w:rPr>
          <w:color w:val="000000"/>
          <w:sz w:val="24"/>
          <w:szCs w:val="24"/>
        </w:rPr>
      </w:pPr>
      <w:r w:rsidRPr="001E71F3">
        <w:rPr>
          <w:color w:val="000000"/>
          <w:sz w:val="24"/>
          <w:szCs w:val="24"/>
        </w:rPr>
        <w:t xml:space="preserve">Účel úveru:  </w:t>
      </w:r>
      <w:r w:rsidR="001058E4">
        <w:rPr>
          <w:color w:val="000000"/>
          <w:sz w:val="24"/>
          <w:szCs w:val="24"/>
        </w:rPr>
        <w:t xml:space="preserve">             Prijaté návratné zdroje budú použité na investičné akcie mesta:</w:t>
      </w:r>
    </w:p>
    <w:p w14:paraId="744CD88D" w14:textId="3B89D1DC" w:rsidR="00C62318" w:rsidRDefault="00C62318" w:rsidP="00C62318">
      <w:pPr>
        <w:adjustRightInd w:val="0"/>
        <w:rPr>
          <w:color w:val="000000"/>
          <w:sz w:val="24"/>
          <w:szCs w:val="24"/>
        </w:rPr>
      </w:pPr>
      <w:r>
        <w:rPr>
          <w:color w:val="000000"/>
          <w:sz w:val="24"/>
          <w:szCs w:val="24"/>
        </w:rPr>
        <w:t xml:space="preserve">                                  Modernizácia mestského úradu                                             200 000 eur</w:t>
      </w:r>
    </w:p>
    <w:p w14:paraId="2E7B78E0" w14:textId="13795D74" w:rsidR="00C62318" w:rsidRDefault="00C62318" w:rsidP="00C62318">
      <w:pPr>
        <w:adjustRightInd w:val="0"/>
        <w:rPr>
          <w:color w:val="2C363A"/>
          <w:sz w:val="24"/>
          <w:szCs w:val="24"/>
          <w:lang w:eastAsia="sk-SK"/>
        </w:rPr>
      </w:pPr>
      <w:r>
        <w:rPr>
          <w:color w:val="000000"/>
          <w:sz w:val="24"/>
          <w:szCs w:val="24"/>
        </w:rPr>
        <w:t xml:space="preserve">                                  </w:t>
      </w:r>
      <w:r w:rsidRPr="00B923EE">
        <w:rPr>
          <w:color w:val="2C363A"/>
          <w:sz w:val="24"/>
          <w:szCs w:val="24"/>
          <w:lang w:eastAsia="sk-SK"/>
        </w:rPr>
        <w:t>Historicko-kultúrno-prírodná cesta okolo Tatier - 4. etapa</w:t>
      </w:r>
      <w:r>
        <w:rPr>
          <w:color w:val="2C363A"/>
          <w:sz w:val="24"/>
          <w:szCs w:val="24"/>
          <w:lang w:eastAsia="sk-SK"/>
        </w:rPr>
        <w:t xml:space="preserve">   250 000 eur</w:t>
      </w:r>
    </w:p>
    <w:p w14:paraId="5A78E0C3" w14:textId="72280D6E" w:rsidR="00C62318" w:rsidRDefault="00C62318" w:rsidP="00C62318">
      <w:pPr>
        <w:adjustRightInd w:val="0"/>
        <w:rPr>
          <w:color w:val="000000"/>
          <w:sz w:val="24"/>
          <w:szCs w:val="24"/>
        </w:rPr>
      </w:pPr>
      <w:r>
        <w:rPr>
          <w:color w:val="000000"/>
          <w:sz w:val="24"/>
          <w:szCs w:val="24"/>
        </w:rPr>
        <w:t xml:space="preserve">                                  Rekonštrukcia verejného osvetlenia                                      260 000 eur</w:t>
      </w:r>
    </w:p>
    <w:p w14:paraId="3A2519C3" w14:textId="0B7BEF76" w:rsidR="001058E4" w:rsidRDefault="00C62318" w:rsidP="00C62318">
      <w:pPr>
        <w:adjustRightInd w:val="0"/>
        <w:rPr>
          <w:color w:val="000000"/>
          <w:sz w:val="24"/>
          <w:szCs w:val="24"/>
        </w:rPr>
      </w:pPr>
      <w:r>
        <w:rPr>
          <w:color w:val="000000"/>
          <w:sz w:val="24"/>
          <w:szCs w:val="24"/>
        </w:rPr>
        <w:t xml:space="preserve">                                  Miestna komunikácia na ul. Krátkej                                     140 000 eur</w:t>
      </w:r>
    </w:p>
    <w:p w14:paraId="6BEB9088" w14:textId="2C9E4395" w:rsidR="00C62318" w:rsidRDefault="00C62318" w:rsidP="00C62318">
      <w:pPr>
        <w:adjustRightInd w:val="0"/>
        <w:rPr>
          <w:color w:val="000000"/>
          <w:sz w:val="24"/>
          <w:szCs w:val="24"/>
        </w:rPr>
      </w:pPr>
      <w:r>
        <w:rPr>
          <w:color w:val="000000"/>
          <w:sz w:val="24"/>
          <w:szCs w:val="24"/>
        </w:rPr>
        <w:t xml:space="preserve">                                  Projektové dokumentácie – nové ZOS, skládka, MŠ            </w:t>
      </w:r>
      <w:bookmarkStart w:id="0" w:name="_GoBack"/>
      <w:bookmarkEnd w:id="0"/>
      <w:r>
        <w:rPr>
          <w:color w:val="000000"/>
          <w:sz w:val="24"/>
          <w:szCs w:val="24"/>
        </w:rPr>
        <w:t>150 000 eur</w:t>
      </w:r>
    </w:p>
    <w:p w14:paraId="34E6F58E" w14:textId="470CB4E3" w:rsidR="00C62318" w:rsidRDefault="00C62318" w:rsidP="00C62318">
      <w:pPr>
        <w:adjustRightInd w:val="0"/>
        <w:rPr>
          <w:color w:val="000000"/>
          <w:sz w:val="24"/>
          <w:szCs w:val="24"/>
        </w:rPr>
      </w:pPr>
      <w:r>
        <w:rPr>
          <w:color w:val="000000"/>
          <w:sz w:val="24"/>
          <w:szCs w:val="24"/>
        </w:rPr>
        <w:t xml:space="preserve">                                  a ďalšie podľa uznesení MsZ</w:t>
      </w:r>
    </w:p>
    <w:p w14:paraId="7FDF31FD" w14:textId="019B8BA1" w:rsidR="0022546C" w:rsidRPr="001E71F3" w:rsidRDefault="00C62318" w:rsidP="0022546C">
      <w:pPr>
        <w:adjustRightInd w:val="0"/>
        <w:rPr>
          <w:color w:val="000000"/>
          <w:sz w:val="24"/>
          <w:szCs w:val="24"/>
        </w:rPr>
      </w:pPr>
      <w:r>
        <w:rPr>
          <w:color w:val="000000"/>
          <w:sz w:val="24"/>
          <w:szCs w:val="24"/>
        </w:rPr>
        <w:t>Doba splácania</w:t>
      </w:r>
      <w:r w:rsidR="0022546C" w:rsidRPr="001E71F3">
        <w:rPr>
          <w:color w:val="000000"/>
          <w:sz w:val="24"/>
          <w:szCs w:val="24"/>
        </w:rPr>
        <w:t xml:space="preserve">:   </w:t>
      </w:r>
      <w:r>
        <w:rPr>
          <w:color w:val="000000"/>
          <w:sz w:val="24"/>
          <w:szCs w:val="24"/>
        </w:rPr>
        <w:t xml:space="preserve">     </w:t>
      </w:r>
      <w:r w:rsidR="00475162">
        <w:rPr>
          <w:color w:val="000000"/>
          <w:sz w:val="24"/>
          <w:szCs w:val="24"/>
        </w:rPr>
        <w:t>10 rokov</w:t>
      </w:r>
    </w:p>
    <w:p w14:paraId="308DADC0" w14:textId="4D8449DF" w:rsidR="0022546C" w:rsidRDefault="00C62318" w:rsidP="0022546C">
      <w:pPr>
        <w:adjustRightInd w:val="0"/>
        <w:rPr>
          <w:color w:val="000000"/>
          <w:sz w:val="24"/>
          <w:szCs w:val="24"/>
        </w:rPr>
      </w:pPr>
      <w:r>
        <w:rPr>
          <w:color w:val="000000"/>
          <w:sz w:val="24"/>
          <w:szCs w:val="24"/>
        </w:rPr>
        <w:t xml:space="preserve"> </w:t>
      </w:r>
    </w:p>
    <w:p w14:paraId="7FA901FC" w14:textId="77777777" w:rsidR="0022546C" w:rsidRPr="0022546C" w:rsidRDefault="0022546C" w:rsidP="0022546C">
      <w:pPr>
        <w:tabs>
          <w:tab w:val="left" w:pos="362"/>
        </w:tabs>
        <w:spacing w:before="60" w:line="274" w:lineRule="exact"/>
        <w:rPr>
          <w:b/>
          <w:sz w:val="24"/>
        </w:rPr>
      </w:pPr>
      <w:r w:rsidRPr="0022546C">
        <w:rPr>
          <w:b/>
          <w:sz w:val="24"/>
        </w:rPr>
        <w:t>Zákonné</w:t>
      </w:r>
      <w:r w:rsidRPr="0022546C">
        <w:rPr>
          <w:b/>
          <w:spacing w:val="-6"/>
          <w:sz w:val="24"/>
        </w:rPr>
        <w:t xml:space="preserve"> </w:t>
      </w:r>
      <w:r w:rsidRPr="0022546C">
        <w:rPr>
          <w:b/>
          <w:sz w:val="24"/>
        </w:rPr>
        <w:t>ustanovenia</w:t>
      </w:r>
      <w:r w:rsidRPr="0022546C">
        <w:rPr>
          <w:b/>
          <w:spacing w:val="-5"/>
          <w:sz w:val="24"/>
        </w:rPr>
        <w:t xml:space="preserve"> </w:t>
      </w:r>
      <w:r w:rsidRPr="0022546C">
        <w:rPr>
          <w:b/>
          <w:sz w:val="24"/>
        </w:rPr>
        <w:t>pri</w:t>
      </w:r>
      <w:r w:rsidRPr="0022546C">
        <w:rPr>
          <w:b/>
          <w:spacing w:val="-2"/>
          <w:sz w:val="24"/>
        </w:rPr>
        <w:t xml:space="preserve"> </w:t>
      </w:r>
      <w:r w:rsidRPr="0022546C">
        <w:rPr>
          <w:b/>
          <w:sz w:val="24"/>
        </w:rPr>
        <w:t>používaní</w:t>
      </w:r>
      <w:r w:rsidRPr="0022546C">
        <w:rPr>
          <w:b/>
          <w:spacing w:val="-4"/>
          <w:sz w:val="24"/>
        </w:rPr>
        <w:t xml:space="preserve"> </w:t>
      </w:r>
      <w:r w:rsidRPr="0022546C">
        <w:rPr>
          <w:b/>
          <w:sz w:val="24"/>
        </w:rPr>
        <w:t>návratných</w:t>
      </w:r>
      <w:r w:rsidRPr="0022546C">
        <w:rPr>
          <w:b/>
          <w:spacing w:val="-2"/>
          <w:sz w:val="24"/>
        </w:rPr>
        <w:t xml:space="preserve"> </w:t>
      </w:r>
      <w:r w:rsidRPr="0022546C">
        <w:rPr>
          <w:b/>
          <w:sz w:val="24"/>
        </w:rPr>
        <w:t>zdrojov</w:t>
      </w:r>
      <w:r w:rsidRPr="0022546C">
        <w:rPr>
          <w:b/>
          <w:spacing w:val="-2"/>
          <w:sz w:val="24"/>
        </w:rPr>
        <w:t xml:space="preserve"> financovania</w:t>
      </w:r>
    </w:p>
    <w:p w14:paraId="5C3ED779" w14:textId="77777777" w:rsidR="00832214" w:rsidRPr="001E71F3" w:rsidRDefault="00832214" w:rsidP="00832214">
      <w:pPr>
        <w:adjustRightInd w:val="0"/>
        <w:rPr>
          <w:color w:val="000000"/>
          <w:sz w:val="24"/>
          <w:szCs w:val="24"/>
        </w:rPr>
      </w:pPr>
    </w:p>
    <w:p w14:paraId="58E5A18E" w14:textId="77777777" w:rsidR="003B503C" w:rsidRDefault="00832214" w:rsidP="003B503C">
      <w:pPr>
        <w:ind w:left="156" w:right="552"/>
        <w:jc w:val="both"/>
        <w:rPr>
          <w:sz w:val="24"/>
          <w:szCs w:val="24"/>
        </w:rPr>
      </w:pPr>
      <w:r w:rsidRPr="001E71F3">
        <w:rPr>
          <w:color w:val="000000"/>
          <w:sz w:val="24"/>
          <w:szCs w:val="24"/>
        </w:rPr>
        <w:t xml:space="preserve">      Pravidlá používania  návratných  zdrojov financovania sú upravené v ustanovení § 17 zákona č. 583/2004 Z. z.. </w:t>
      </w:r>
      <w:r w:rsidR="00667C25">
        <w:rPr>
          <w:color w:val="000000"/>
          <w:sz w:val="24"/>
          <w:szCs w:val="24"/>
        </w:rPr>
        <w:t>Mesto</w:t>
      </w:r>
      <w:r w:rsidR="00667C25">
        <w:rPr>
          <w:sz w:val="24"/>
          <w:szCs w:val="24"/>
        </w:rPr>
        <w:t xml:space="preserve"> </w:t>
      </w:r>
      <w:r w:rsidR="00667C25" w:rsidRPr="001E71F3">
        <w:rPr>
          <w:color w:val="000000"/>
          <w:sz w:val="24"/>
          <w:szCs w:val="24"/>
        </w:rPr>
        <w:t xml:space="preserve">môže vstupovať len do takých záväzkov vyplývajúcich z návratných zdrojov financovania, ktorých úhrada dlhodobo nenaruší vyrovnanosť bežného rozpočtu v nasledujúcich rokoch. </w:t>
      </w:r>
      <w:r w:rsidR="00667C25">
        <w:rPr>
          <w:sz w:val="24"/>
          <w:szCs w:val="24"/>
        </w:rPr>
        <w:t xml:space="preserve"> </w:t>
      </w:r>
      <w:r w:rsidR="00667C25" w:rsidRPr="0022546C">
        <w:rPr>
          <w:sz w:val="24"/>
          <w:szCs w:val="24"/>
        </w:rPr>
        <w:t xml:space="preserve">Podľa § 17 ods. 2 </w:t>
      </w:r>
      <w:r w:rsidR="00667C25">
        <w:rPr>
          <w:sz w:val="24"/>
          <w:szCs w:val="24"/>
        </w:rPr>
        <w:t>cit. zákona</w:t>
      </w:r>
      <w:r w:rsidR="00667C25" w:rsidRPr="00B437C6">
        <w:rPr>
          <w:sz w:val="24"/>
          <w:szCs w:val="24"/>
        </w:rPr>
        <w:t xml:space="preserve"> </w:t>
      </w:r>
      <w:r w:rsidR="00667C25">
        <w:rPr>
          <w:sz w:val="24"/>
          <w:szCs w:val="24"/>
        </w:rPr>
        <w:t xml:space="preserve">môže  </w:t>
      </w:r>
      <w:r w:rsidR="00667C25" w:rsidRPr="00B437C6">
        <w:rPr>
          <w:sz w:val="24"/>
          <w:szCs w:val="24"/>
        </w:rPr>
        <w:t>mesto použiť návratné</w:t>
      </w:r>
      <w:r w:rsidR="00667C25" w:rsidRPr="00B437C6">
        <w:rPr>
          <w:spacing w:val="-7"/>
          <w:sz w:val="24"/>
          <w:szCs w:val="24"/>
        </w:rPr>
        <w:t xml:space="preserve"> </w:t>
      </w:r>
      <w:r w:rsidR="00667C25" w:rsidRPr="00B437C6">
        <w:rPr>
          <w:sz w:val="24"/>
          <w:szCs w:val="24"/>
        </w:rPr>
        <w:t>zdroje</w:t>
      </w:r>
      <w:r w:rsidR="00667C25" w:rsidRPr="00B437C6">
        <w:rPr>
          <w:spacing w:val="-7"/>
          <w:sz w:val="24"/>
          <w:szCs w:val="24"/>
        </w:rPr>
        <w:t xml:space="preserve"> </w:t>
      </w:r>
      <w:r w:rsidR="00667C25" w:rsidRPr="0022546C">
        <w:rPr>
          <w:sz w:val="24"/>
          <w:szCs w:val="24"/>
        </w:rPr>
        <w:t>financovania</w:t>
      </w:r>
      <w:r w:rsidR="00667C25" w:rsidRPr="0022546C">
        <w:rPr>
          <w:spacing w:val="-7"/>
          <w:sz w:val="24"/>
          <w:szCs w:val="24"/>
        </w:rPr>
        <w:t xml:space="preserve"> </w:t>
      </w:r>
      <w:r w:rsidR="00667C25" w:rsidRPr="0022546C">
        <w:rPr>
          <w:b/>
          <w:sz w:val="24"/>
          <w:szCs w:val="24"/>
        </w:rPr>
        <w:t>len</w:t>
      </w:r>
      <w:r w:rsidR="00667C25" w:rsidRPr="0022546C">
        <w:rPr>
          <w:b/>
          <w:spacing w:val="-7"/>
          <w:sz w:val="24"/>
          <w:szCs w:val="24"/>
        </w:rPr>
        <w:t xml:space="preserve"> </w:t>
      </w:r>
      <w:r w:rsidR="00667C25" w:rsidRPr="0022546C">
        <w:rPr>
          <w:b/>
          <w:sz w:val="24"/>
          <w:szCs w:val="24"/>
        </w:rPr>
        <w:t>na</w:t>
      </w:r>
      <w:r w:rsidR="00667C25" w:rsidRPr="0022546C">
        <w:rPr>
          <w:b/>
          <w:spacing w:val="-7"/>
          <w:sz w:val="24"/>
          <w:szCs w:val="24"/>
        </w:rPr>
        <w:t xml:space="preserve"> </w:t>
      </w:r>
      <w:r w:rsidR="00667C25" w:rsidRPr="0022546C">
        <w:rPr>
          <w:b/>
          <w:sz w:val="24"/>
          <w:szCs w:val="24"/>
        </w:rPr>
        <w:t>úhradu</w:t>
      </w:r>
      <w:r w:rsidR="00667C25" w:rsidRPr="0022546C">
        <w:rPr>
          <w:b/>
          <w:spacing w:val="-7"/>
          <w:sz w:val="24"/>
          <w:szCs w:val="24"/>
        </w:rPr>
        <w:t xml:space="preserve"> </w:t>
      </w:r>
      <w:r w:rsidR="00667C25" w:rsidRPr="0022546C">
        <w:rPr>
          <w:b/>
          <w:sz w:val="24"/>
          <w:szCs w:val="24"/>
        </w:rPr>
        <w:t>kapitálových</w:t>
      </w:r>
      <w:r w:rsidR="00667C25" w:rsidRPr="0022546C">
        <w:rPr>
          <w:b/>
          <w:spacing w:val="-7"/>
          <w:sz w:val="24"/>
          <w:szCs w:val="24"/>
        </w:rPr>
        <w:t xml:space="preserve"> </w:t>
      </w:r>
      <w:r w:rsidR="00667C25" w:rsidRPr="0022546C">
        <w:rPr>
          <w:b/>
          <w:sz w:val="24"/>
          <w:szCs w:val="24"/>
        </w:rPr>
        <w:t>výdavkov</w:t>
      </w:r>
      <w:r w:rsidR="00667C25" w:rsidRPr="0022546C">
        <w:rPr>
          <w:sz w:val="24"/>
          <w:szCs w:val="24"/>
        </w:rPr>
        <w:t>.</w:t>
      </w:r>
      <w:r w:rsidR="00667C25" w:rsidRPr="0022546C">
        <w:rPr>
          <w:spacing w:val="-7"/>
          <w:sz w:val="24"/>
          <w:szCs w:val="24"/>
        </w:rPr>
        <w:t xml:space="preserve"> </w:t>
      </w:r>
      <w:r w:rsidR="00667C25" w:rsidRPr="0022546C">
        <w:rPr>
          <w:sz w:val="24"/>
          <w:szCs w:val="24"/>
        </w:rPr>
        <w:t>Na</w:t>
      </w:r>
      <w:r w:rsidR="00667C25" w:rsidRPr="0022546C">
        <w:rPr>
          <w:spacing w:val="-5"/>
          <w:sz w:val="24"/>
          <w:szCs w:val="24"/>
        </w:rPr>
        <w:t xml:space="preserve"> </w:t>
      </w:r>
      <w:r w:rsidR="00667C25" w:rsidRPr="0022546C">
        <w:rPr>
          <w:sz w:val="24"/>
          <w:szCs w:val="24"/>
        </w:rPr>
        <w:t>vyrovnanie</w:t>
      </w:r>
      <w:r w:rsidR="00667C25" w:rsidRPr="0022546C">
        <w:rPr>
          <w:spacing w:val="-8"/>
          <w:sz w:val="24"/>
          <w:szCs w:val="24"/>
        </w:rPr>
        <w:t xml:space="preserve"> </w:t>
      </w:r>
      <w:r w:rsidR="00667C25" w:rsidRPr="0022546C">
        <w:rPr>
          <w:sz w:val="24"/>
          <w:szCs w:val="24"/>
        </w:rPr>
        <w:t>časového</w:t>
      </w:r>
      <w:r w:rsidR="00667C25" w:rsidRPr="0022546C">
        <w:rPr>
          <w:spacing w:val="-7"/>
          <w:sz w:val="24"/>
          <w:szCs w:val="24"/>
        </w:rPr>
        <w:t xml:space="preserve"> </w:t>
      </w:r>
      <w:r w:rsidR="00667C25" w:rsidRPr="0022546C">
        <w:rPr>
          <w:sz w:val="24"/>
          <w:szCs w:val="24"/>
        </w:rPr>
        <w:t>nesúladu medzi príjmami a výdavkami bežného rozpočtu v priebehu rozpočtového roka sa výnimočne môžu použiť tieto zdroje financovania za podmienky, že budú splatené do konca rozpočtového roka z príjmov bežného rozpočtu.</w:t>
      </w:r>
      <w:r w:rsidR="00667C25">
        <w:rPr>
          <w:sz w:val="24"/>
          <w:szCs w:val="24"/>
        </w:rPr>
        <w:t xml:space="preserve"> </w:t>
      </w:r>
    </w:p>
    <w:p w14:paraId="7CE4927F" w14:textId="77777777" w:rsidR="003B503C" w:rsidRDefault="003B503C" w:rsidP="003B503C">
      <w:pPr>
        <w:ind w:left="156" w:right="552"/>
        <w:jc w:val="both"/>
        <w:rPr>
          <w:color w:val="000000"/>
          <w:sz w:val="24"/>
          <w:szCs w:val="24"/>
        </w:rPr>
      </w:pPr>
    </w:p>
    <w:p w14:paraId="72C335A5" w14:textId="77777777" w:rsidR="003B503C" w:rsidRDefault="00832214" w:rsidP="003B503C">
      <w:pPr>
        <w:ind w:left="156" w:right="552"/>
        <w:jc w:val="both"/>
        <w:rPr>
          <w:color w:val="000000"/>
          <w:sz w:val="24"/>
          <w:szCs w:val="24"/>
        </w:rPr>
      </w:pPr>
      <w:r w:rsidRPr="001E71F3">
        <w:rPr>
          <w:color w:val="000000"/>
          <w:sz w:val="24"/>
          <w:szCs w:val="24"/>
        </w:rPr>
        <w:t xml:space="preserve">Podmienky na prijatie návratných zdrojov financovania sú upravené v ustanovení § 17 ods. 6 zákona č. 583/2004 Z. z.  Obec môže na plnenie svojich úloh prijať návratné zdroje financovania, len ak:  </w:t>
      </w:r>
    </w:p>
    <w:p w14:paraId="42F40B42" w14:textId="209116FC" w:rsidR="003B503C" w:rsidRDefault="003B503C" w:rsidP="003B503C">
      <w:pPr>
        <w:ind w:left="156" w:right="552"/>
        <w:jc w:val="both"/>
        <w:rPr>
          <w:b/>
          <w:color w:val="000000"/>
          <w:sz w:val="24"/>
          <w:szCs w:val="24"/>
        </w:rPr>
      </w:pPr>
      <w:r>
        <w:rPr>
          <w:color w:val="000000"/>
          <w:sz w:val="24"/>
          <w:szCs w:val="24"/>
        </w:rPr>
        <w:t xml:space="preserve">    </w:t>
      </w:r>
      <w:r w:rsidR="00832214" w:rsidRPr="001E71F3">
        <w:rPr>
          <w:color w:val="000000"/>
          <w:sz w:val="24"/>
          <w:szCs w:val="24"/>
        </w:rPr>
        <w:t xml:space="preserve"> a/ </w:t>
      </w:r>
      <w:r w:rsidR="00832214" w:rsidRPr="00952F90">
        <w:rPr>
          <w:b/>
          <w:color w:val="000000"/>
          <w:sz w:val="24"/>
          <w:szCs w:val="24"/>
        </w:rPr>
        <w:t>celková suma dlhu obce alebo vyššieho územného celku neprekročí 60 % skutočných</w:t>
      </w:r>
      <w:r w:rsidR="008050DC">
        <w:rPr>
          <w:b/>
          <w:color w:val="000000"/>
          <w:sz w:val="24"/>
          <w:szCs w:val="24"/>
        </w:rPr>
        <w:t xml:space="preserve"> </w:t>
      </w:r>
      <w:r w:rsidR="00832214" w:rsidRPr="00952F90">
        <w:rPr>
          <w:b/>
          <w:color w:val="000000"/>
          <w:sz w:val="24"/>
          <w:szCs w:val="24"/>
        </w:rPr>
        <w:t xml:space="preserve">bežných príjmov predchádzajúceho rozpočtového roka a </w:t>
      </w:r>
    </w:p>
    <w:p w14:paraId="3E0537BA" w14:textId="319C4C88" w:rsidR="00475162" w:rsidRDefault="003B503C" w:rsidP="003B503C">
      <w:pPr>
        <w:ind w:left="156" w:right="552"/>
        <w:jc w:val="both"/>
        <w:rPr>
          <w:color w:val="000000"/>
          <w:sz w:val="24"/>
          <w:szCs w:val="24"/>
        </w:rPr>
      </w:pPr>
      <w:r>
        <w:rPr>
          <w:color w:val="000000"/>
          <w:sz w:val="24"/>
          <w:szCs w:val="24"/>
        </w:rPr>
        <w:t xml:space="preserve">     </w:t>
      </w:r>
      <w:r w:rsidR="00832214" w:rsidRPr="001E71F3">
        <w:rPr>
          <w:color w:val="000000"/>
          <w:sz w:val="24"/>
          <w:szCs w:val="24"/>
        </w:rPr>
        <w:t xml:space="preserve">b/ </w:t>
      </w:r>
      <w:r w:rsidR="00832214" w:rsidRPr="00952F90">
        <w:rPr>
          <w:b/>
          <w:color w:val="000000"/>
          <w:sz w:val="24"/>
          <w:szCs w:val="24"/>
        </w:rPr>
        <w:t>suma splátok</w:t>
      </w:r>
      <w:r w:rsidR="00832214" w:rsidRPr="001E71F3">
        <w:rPr>
          <w:color w:val="000000"/>
          <w:sz w:val="24"/>
          <w:szCs w:val="24"/>
        </w:rPr>
        <w:t xml:space="preserve"> návratných zdrojov financovania vrátane úhrady výnosov a suma splátok záväzkov</w:t>
      </w:r>
      <w:r w:rsidR="00832214">
        <w:rPr>
          <w:color w:val="000000"/>
          <w:sz w:val="24"/>
          <w:szCs w:val="24"/>
        </w:rPr>
        <w:t xml:space="preserve"> </w:t>
      </w:r>
      <w:r w:rsidR="00832214" w:rsidRPr="001E71F3">
        <w:rPr>
          <w:color w:val="000000"/>
          <w:sz w:val="24"/>
          <w:szCs w:val="24"/>
        </w:rPr>
        <w:t xml:space="preserve"> investičných dodávateľských úverov </w:t>
      </w:r>
      <w:r w:rsidR="00832214" w:rsidRPr="00952F90">
        <w:rPr>
          <w:b/>
          <w:color w:val="000000"/>
          <w:sz w:val="24"/>
          <w:szCs w:val="24"/>
        </w:rPr>
        <w:t>neprekročí v príslušnom rozpočtovom roku 25 %</w:t>
      </w:r>
      <w:r w:rsidR="00832214" w:rsidRPr="001E71F3">
        <w:rPr>
          <w:color w:val="000000"/>
          <w:sz w:val="24"/>
          <w:szCs w:val="24"/>
        </w:rPr>
        <w:t xml:space="preserve"> skutočných</w:t>
      </w:r>
      <w:r w:rsidR="00475162">
        <w:rPr>
          <w:color w:val="000000"/>
          <w:sz w:val="24"/>
          <w:szCs w:val="24"/>
        </w:rPr>
        <w:t xml:space="preserve">  </w:t>
      </w:r>
      <w:r w:rsidR="00832214" w:rsidRPr="001E71F3">
        <w:rPr>
          <w:color w:val="000000"/>
          <w:sz w:val="24"/>
          <w:szCs w:val="24"/>
        </w:rPr>
        <w:t xml:space="preserve"> bežných</w:t>
      </w:r>
      <w:r w:rsidR="00475162">
        <w:rPr>
          <w:color w:val="000000"/>
          <w:sz w:val="24"/>
          <w:szCs w:val="24"/>
        </w:rPr>
        <w:t xml:space="preserve">  </w:t>
      </w:r>
      <w:r w:rsidR="00832214" w:rsidRPr="001E71F3">
        <w:rPr>
          <w:color w:val="000000"/>
          <w:sz w:val="24"/>
          <w:szCs w:val="24"/>
        </w:rPr>
        <w:t xml:space="preserve"> príjmov</w:t>
      </w:r>
      <w:r w:rsidR="00475162">
        <w:rPr>
          <w:color w:val="000000"/>
          <w:sz w:val="24"/>
          <w:szCs w:val="24"/>
        </w:rPr>
        <w:t xml:space="preserve">  </w:t>
      </w:r>
      <w:r w:rsidR="00832214" w:rsidRPr="001E71F3">
        <w:rPr>
          <w:color w:val="000000"/>
          <w:sz w:val="24"/>
          <w:szCs w:val="24"/>
        </w:rPr>
        <w:t xml:space="preserve"> predchádzajúceho</w:t>
      </w:r>
      <w:r w:rsidR="00475162">
        <w:rPr>
          <w:color w:val="000000"/>
          <w:sz w:val="24"/>
          <w:szCs w:val="24"/>
        </w:rPr>
        <w:t xml:space="preserve">  </w:t>
      </w:r>
      <w:r w:rsidR="00832214" w:rsidRPr="001E71F3">
        <w:rPr>
          <w:color w:val="000000"/>
          <w:sz w:val="24"/>
          <w:szCs w:val="24"/>
        </w:rPr>
        <w:t xml:space="preserve"> rozpočtového </w:t>
      </w:r>
      <w:r w:rsidR="00475162">
        <w:rPr>
          <w:color w:val="000000"/>
          <w:sz w:val="24"/>
          <w:szCs w:val="24"/>
        </w:rPr>
        <w:t xml:space="preserve"> </w:t>
      </w:r>
      <w:r w:rsidR="00832214" w:rsidRPr="001E71F3">
        <w:rPr>
          <w:color w:val="000000"/>
          <w:sz w:val="24"/>
          <w:szCs w:val="24"/>
        </w:rPr>
        <w:t>roka znížených</w:t>
      </w:r>
      <w:r w:rsidR="00475162">
        <w:rPr>
          <w:color w:val="000000"/>
          <w:sz w:val="24"/>
          <w:szCs w:val="24"/>
        </w:rPr>
        <w:t xml:space="preserve"> </w:t>
      </w:r>
      <w:r w:rsidR="00832214" w:rsidRPr="001E71F3">
        <w:rPr>
          <w:color w:val="000000"/>
          <w:sz w:val="24"/>
          <w:szCs w:val="24"/>
        </w:rPr>
        <w:t xml:space="preserve"> o </w:t>
      </w:r>
      <w:r w:rsidR="00475162">
        <w:rPr>
          <w:color w:val="000000"/>
          <w:sz w:val="24"/>
          <w:szCs w:val="24"/>
        </w:rPr>
        <w:t xml:space="preserve">   </w:t>
      </w:r>
      <w:r w:rsidR="00832214" w:rsidRPr="001E71F3">
        <w:rPr>
          <w:color w:val="000000"/>
          <w:sz w:val="24"/>
          <w:szCs w:val="24"/>
        </w:rPr>
        <w:t xml:space="preserve">prostriedky </w:t>
      </w:r>
    </w:p>
    <w:p w14:paraId="448BBA20" w14:textId="76FFEEFF" w:rsidR="00FE35B3" w:rsidRDefault="008050DC" w:rsidP="008050DC">
      <w:pPr>
        <w:ind w:right="552"/>
        <w:jc w:val="both"/>
        <w:rPr>
          <w:color w:val="000000"/>
          <w:sz w:val="24"/>
          <w:szCs w:val="24"/>
          <w:shd w:val="clear" w:color="auto" w:fill="FFFFFF"/>
        </w:rPr>
      </w:pPr>
      <w:r>
        <w:rPr>
          <w:color w:val="000000"/>
          <w:sz w:val="24"/>
          <w:szCs w:val="24"/>
        </w:rPr>
        <w:t xml:space="preserve">   </w:t>
      </w:r>
      <w:r w:rsidR="00832214" w:rsidRPr="001E71F3">
        <w:rPr>
          <w:color w:val="000000"/>
          <w:sz w:val="24"/>
          <w:szCs w:val="24"/>
        </w:rPr>
        <w:t>poskytnuté v</w:t>
      </w:r>
      <w:r w:rsidR="00FE35B3">
        <w:rPr>
          <w:color w:val="000000"/>
          <w:sz w:val="24"/>
          <w:szCs w:val="24"/>
        </w:rPr>
        <w:t xml:space="preserve"> </w:t>
      </w:r>
      <w:r w:rsidR="00832214" w:rsidRPr="001E71F3">
        <w:rPr>
          <w:color w:val="000000"/>
          <w:sz w:val="24"/>
          <w:szCs w:val="24"/>
        </w:rPr>
        <w:t xml:space="preserve"> príslušnom </w:t>
      </w:r>
      <w:r w:rsidR="00FE35B3">
        <w:rPr>
          <w:color w:val="000000"/>
          <w:sz w:val="24"/>
          <w:szCs w:val="24"/>
        </w:rPr>
        <w:t xml:space="preserve">  </w:t>
      </w:r>
      <w:r w:rsidR="00832214" w:rsidRPr="001E71F3">
        <w:rPr>
          <w:color w:val="000000"/>
          <w:sz w:val="24"/>
          <w:szCs w:val="24"/>
        </w:rPr>
        <w:t xml:space="preserve">rozpočtovom </w:t>
      </w:r>
      <w:r w:rsidR="00FE35B3">
        <w:rPr>
          <w:color w:val="000000"/>
          <w:sz w:val="24"/>
          <w:szCs w:val="24"/>
        </w:rPr>
        <w:t xml:space="preserve">  </w:t>
      </w:r>
      <w:r w:rsidR="00832214" w:rsidRPr="001E71F3">
        <w:rPr>
          <w:color w:val="000000"/>
          <w:sz w:val="24"/>
          <w:szCs w:val="24"/>
        </w:rPr>
        <w:t xml:space="preserve">roku </w:t>
      </w:r>
      <w:r w:rsidR="00FE35B3">
        <w:rPr>
          <w:color w:val="000000"/>
          <w:sz w:val="24"/>
          <w:szCs w:val="24"/>
        </w:rPr>
        <w:t xml:space="preserve">   </w:t>
      </w:r>
      <w:r w:rsidR="00832214" w:rsidRPr="001E71F3">
        <w:rPr>
          <w:color w:val="000000"/>
          <w:sz w:val="24"/>
          <w:szCs w:val="24"/>
        </w:rPr>
        <w:t xml:space="preserve">obci </w:t>
      </w:r>
      <w:r w:rsidR="00FE35B3">
        <w:rPr>
          <w:color w:val="000000"/>
          <w:sz w:val="24"/>
          <w:szCs w:val="24"/>
        </w:rPr>
        <w:t xml:space="preserve"> </w:t>
      </w:r>
      <w:r w:rsidR="00832214" w:rsidRPr="001E71F3">
        <w:rPr>
          <w:color w:val="000000"/>
          <w:sz w:val="24"/>
          <w:szCs w:val="24"/>
          <w:shd w:val="clear" w:color="auto" w:fill="FFFFFF"/>
        </w:rPr>
        <w:t>z</w:t>
      </w:r>
      <w:r w:rsidR="00FE35B3">
        <w:rPr>
          <w:color w:val="000000"/>
          <w:sz w:val="24"/>
          <w:szCs w:val="24"/>
          <w:shd w:val="clear" w:color="auto" w:fill="FFFFFF"/>
        </w:rPr>
        <w:t xml:space="preserve">  </w:t>
      </w:r>
      <w:r w:rsidR="00832214" w:rsidRPr="001E71F3">
        <w:rPr>
          <w:color w:val="000000"/>
          <w:sz w:val="24"/>
          <w:szCs w:val="24"/>
          <w:shd w:val="clear" w:color="auto" w:fill="FFFFFF"/>
        </w:rPr>
        <w:t xml:space="preserve"> rozpočtu iného subjektu verejnej správy, </w:t>
      </w:r>
      <w:r>
        <w:rPr>
          <w:color w:val="000000"/>
          <w:sz w:val="24"/>
          <w:szCs w:val="24"/>
          <w:shd w:val="clear" w:color="auto" w:fill="FFFFFF"/>
        </w:rPr>
        <w:t xml:space="preserve">  </w:t>
      </w:r>
      <w:r w:rsidR="007C2D9B">
        <w:rPr>
          <w:color w:val="000000"/>
          <w:sz w:val="24"/>
          <w:szCs w:val="24"/>
          <w:shd w:val="clear" w:color="auto" w:fill="FFFFFF"/>
        </w:rPr>
        <w:t xml:space="preserve">     </w:t>
      </w:r>
      <w:r w:rsidR="00FE35B3">
        <w:rPr>
          <w:color w:val="000000"/>
          <w:sz w:val="24"/>
          <w:szCs w:val="24"/>
          <w:shd w:val="clear" w:color="auto" w:fill="FFFFFF"/>
        </w:rPr>
        <w:t xml:space="preserve">  </w:t>
      </w:r>
    </w:p>
    <w:p w14:paraId="20F7151A" w14:textId="77777777" w:rsidR="00592C73" w:rsidRDefault="00FE35B3" w:rsidP="008050DC">
      <w:pPr>
        <w:ind w:right="552"/>
        <w:jc w:val="both"/>
        <w:rPr>
          <w:color w:val="000000"/>
          <w:sz w:val="24"/>
          <w:szCs w:val="24"/>
          <w:shd w:val="clear" w:color="auto" w:fill="FFFFFF"/>
        </w:rPr>
      </w:pPr>
      <w:r>
        <w:rPr>
          <w:color w:val="000000"/>
          <w:sz w:val="24"/>
          <w:szCs w:val="24"/>
          <w:shd w:val="clear" w:color="auto" w:fill="FFFFFF"/>
        </w:rPr>
        <w:t xml:space="preserve">   </w:t>
      </w:r>
      <w:r w:rsidR="00832214" w:rsidRPr="001E71F3">
        <w:rPr>
          <w:color w:val="000000"/>
          <w:sz w:val="24"/>
          <w:szCs w:val="24"/>
          <w:shd w:val="clear" w:color="auto" w:fill="FFFFFF"/>
        </w:rPr>
        <w:t xml:space="preserve">prostriedky poskytnuté z Európskej únie a iné prostriedky zo zahraničia alebo prostriedky získané </w:t>
      </w:r>
      <w:r w:rsidR="00592C73">
        <w:rPr>
          <w:color w:val="000000"/>
          <w:sz w:val="24"/>
          <w:szCs w:val="24"/>
          <w:shd w:val="clear" w:color="auto" w:fill="FFFFFF"/>
        </w:rPr>
        <w:t xml:space="preserve">   </w:t>
      </w:r>
    </w:p>
    <w:p w14:paraId="0FBEBEE2" w14:textId="4BD37D54" w:rsidR="00832214" w:rsidRPr="00FE35B3" w:rsidRDefault="00592C73" w:rsidP="008050DC">
      <w:pPr>
        <w:ind w:right="552"/>
        <w:jc w:val="both"/>
        <w:rPr>
          <w:color w:val="000000"/>
          <w:sz w:val="24"/>
          <w:szCs w:val="24"/>
          <w:shd w:val="clear" w:color="auto" w:fill="FFFFFF"/>
        </w:rPr>
      </w:pPr>
      <w:r>
        <w:rPr>
          <w:color w:val="000000"/>
          <w:sz w:val="24"/>
          <w:szCs w:val="24"/>
          <w:shd w:val="clear" w:color="auto" w:fill="FFFFFF"/>
        </w:rPr>
        <w:t xml:space="preserve">   </w:t>
      </w:r>
      <w:r w:rsidR="00832214" w:rsidRPr="001E71F3">
        <w:rPr>
          <w:color w:val="000000"/>
          <w:sz w:val="24"/>
          <w:szCs w:val="24"/>
          <w:shd w:val="clear" w:color="auto" w:fill="FFFFFF"/>
        </w:rPr>
        <w:t>na základe osobitného predpisu</w:t>
      </w:r>
      <w:r w:rsidR="00832214" w:rsidRPr="001E71F3">
        <w:rPr>
          <w:color w:val="000000"/>
          <w:sz w:val="24"/>
          <w:szCs w:val="24"/>
        </w:rPr>
        <w:t xml:space="preserve">. </w:t>
      </w:r>
    </w:p>
    <w:p w14:paraId="77481966" w14:textId="77777777" w:rsidR="003D1EEC" w:rsidRPr="001E71F3" w:rsidRDefault="003D1EEC" w:rsidP="00832214">
      <w:pPr>
        <w:adjustRightInd w:val="0"/>
        <w:jc w:val="both"/>
        <w:rPr>
          <w:color w:val="000000"/>
          <w:sz w:val="24"/>
          <w:szCs w:val="24"/>
        </w:rPr>
      </w:pPr>
    </w:p>
    <w:p w14:paraId="2DF2312E" w14:textId="77777777" w:rsidR="003B503C" w:rsidRDefault="00832214" w:rsidP="003D1EEC">
      <w:pPr>
        <w:pStyle w:val="Zkladntext"/>
        <w:ind w:left="121" w:right="529"/>
        <w:jc w:val="both"/>
      </w:pPr>
      <w:r w:rsidRPr="001E71F3">
        <w:rPr>
          <w:color w:val="000000"/>
        </w:rPr>
        <w:t xml:space="preserve">     Celkovou sumou dlhu obce sa podľa § 17 ods. 7 zákona č. 583/2004 Z. z. </w:t>
      </w:r>
      <w:r w:rsidR="003D1EEC">
        <w:t xml:space="preserve"> na účely tohto zákona rozumie súhrn záväzkov vyplývajúcich zo splácania istín návratných zdrojov</w:t>
      </w:r>
      <w:r w:rsidR="003D1EEC">
        <w:rPr>
          <w:spacing w:val="40"/>
        </w:rPr>
        <w:t xml:space="preserve"> </w:t>
      </w:r>
      <w:r w:rsidR="003D1EEC">
        <w:t xml:space="preserve">financovania, záväzkov </w:t>
      </w:r>
    </w:p>
    <w:p w14:paraId="6455DB83" w14:textId="77777777" w:rsidR="003B503C" w:rsidRDefault="003D1EEC" w:rsidP="003B503C">
      <w:pPr>
        <w:pStyle w:val="Zkladntext"/>
        <w:ind w:left="121" w:right="529"/>
        <w:jc w:val="both"/>
      </w:pPr>
      <w:r>
        <w:t>z investičných</w:t>
      </w:r>
      <w:r>
        <w:rPr>
          <w:spacing w:val="40"/>
        </w:rPr>
        <w:t xml:space="preserve"> </w:t>
      </w:r>
      <w:r>
        <w:t>dodávateľských</w:t>
      </w:r>
      <w:r>
        <w:rPr>
          <w:spacing w:val="40"/>
        </w:rPr>
        <w:t xml:space="preserve"> </w:t>
      </w:r>
      <w:r>
        <w:t>úverov a ručiteľských záväzkov obce, okrem výnimiek uvedených v § 17 ods. 8 citovaného zákona.</w:t>
      </w:r>
    </w:p>
    <w:p w14:paraId="783196E6" w14:textId="77777777" w:rsidR="003B503C" w:rsidRDefault="003B503C" w:rsidP="003B503C">
      <w:pPr>
        <w:pStyle w:val="Zkladntext"/>
        <w:ind w:left="121" w:right="529"/>
        <w:jc w:val="both"/>
        <w:rPr>
          <w:b/>
          <w:bCs/>
          <w:color w:val="000000"/>
        </w:rPr>
      </w:pPr>
    </w:p>
    <w:p w14:paraId="56E5B27B" w14:textId="2BE3DD82" w:rsidR="002B0071" w:rsidRDefault="002B0071" w:rsidP="003B503C">
      <w:pPr>
        <w:pStyle w:val="Zkladntext"/>
        <w:ind w:left="121" w:right="529"/>
        <w:jc w:val="both"/>
        <w:rPr>
          <w:b/>
          <w:bCs/>
          <w:color w:val="000000"/>
        </w:rPr>
      </w:pPr>
      <w:r w:rsidRPr="002B0071">
        <w:rPr>
          <w:b/>
          <w:bCs/>
          <w:color w:val="000000"/>
        </w:rPr>
        <w:t xml:space="preserve">Údaje mesta Spišská Belá, z ktorých sa vychádza pri preverovaní dodržania podmienok na prijatie návratných zdrojov financovania: </w:t>
      </w:r>
    </w:p>
    <w:p w14:paraId="5FB59E83" w14:textId="77777777" w:rsidR="008050DC" w:rsidRPr="003B503C" w:rsidRDefault="008050DC" w:rsidP="003B503C">
      <w:pPr>
        <w:pStyle w:val="Zkladntext"/>
        <w:ind w:left="121" w:right="529"/>
        <w:jc w:val="both"/>
      </w:pPr>
    </w:p>
    <w:p w14:paraId="3BF646E7" w14:textId="60996EDA" w:rsidR="002B0071" w:rsidRPr="002B0071" w:rsidRDefault="002B0071" w:rsidP="008050DC">
      <w:pPr>
        <w:pStyle w:val="Nadpis2"/>
        <w:numPr>
          <w:ilvl w:val="0"/>
          <w:numId w:val="6"/>
        </w:numPr>
        <w:tabs>
          <w:tab w:val="left" w:pos="362"/>
        </w:tabs>
        <w:spacing w:after="4"/>
        <w:rPr>
          <w:spacing w:val="-4"/>
        </w:rPr>
      </w:pPr>
      <w:r w:rsidRPr="002B0071">
        <w:t>Skutočné</w:t>
      </w:r>
      <w:r w:rsidRPr="002B0071">
        <w:rPr>
          <w:spacing w:val="-6"/>
        </w:rPr>
        <w:t xml:space="preserve"> </w:t>
      </w:r>
      <w:r w:rsidRPr="002B0071">
        <w:t>bežné</w:t>
      </w:r>
      <w:r w:rsidRPr="002B0071">
        <w:rPr>
          <w:spacing w:val="-3"/>
        </w:rPr>
        <w:t xml:space="preserve"> </w:t>
      </w:r>
      <w:r w:rsidRPr="002B0071">
        <w:t>príjmy mesta</w:t>
      </w:r>
      <w:r w:rsidRPr="002B0071">
        <w:rPr>
          <w:spacing w:val="-4"/>
        </w:rPr>
        <w:t xml:space="preserve"> </w:t>
      </w:r>
      <w:r w:rsidRPr="002B0071">
        <w:t>v</w:t>
      </w:r>
      <w:r w:rsidRPr="002B0071">
        <w:rPr>
          <w:spacing w:val="2"/>
        </w:rPr>
        <w:t xml:space="preserve"> </w:t>
      </w:r>
      <w:r w:rsidRPr="002B0071">
        <w:t>roku</w:t>
      </w:r>
      <w:r w:rsidRPr="002B0071">
        <w:rPr>
          <w:spacing w:val="-2"/>
        </w:rPr>
        <w:t xml:space="preserve"> </w:t>
      </w:r>
      <w:r w:rsidRPr="002B0071">
        <w:rPr>
          <w:spacing w:val="-4"/>
        </w:rPr>
        <w:t>2023</w:t>
      </w:r>
    </w:p>
    <w:p w14:paraId="135C9AE6" w14:textId="77777777" w:rsidR="002B0071" w:rsidRPr="002B0071" w:rsidRDefault="002B0071" w:rsidP="002B0071">
      <w:pPr>
        <w:pStyle w:val="Nadpis2"/>
        <w:tabs>
          <w:tab w:val="left" w:pos="362"/>
        </w:tabs>
        <w:spacing w:after="4"/>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4"/>
        <w:gridCol w:w="2562"/>
      </w:tblGrid>
      <w:tr w:rsidR="002B0071" w:rsidRPr="002B0071" w14:paraId="3B548CD9" w14:textId="77777777" w:rsidTr="00FF119E">
        <w:trPr>
          <w:trHeight w:val="546"/>
        </w:trPr>
        <w:tc>
          <w:tcPr>
            <w:tcW w:w="7094" w:type="dxa"/>
          </w:tcPr>
          <w:p w14:paraId="6A37C90B" w14:textId="77777777" w:rsidR="002B0071" w:rsidRPr="00FF119E" w:rsidRDefault="002B0071" w:rsidP="00475162">
            <w:pPr>
              <w:pStyle w:val="TableParagraph"/>
              <w:spacing w:before="140"/>
              <w:ind w:left="107"/>
              <w:rPr>
                <w:b/>
                <w:spacing w:val="-2"/>
                <w:sz w:val="24"/>
                <w:szCs w:val="24"/>
              </w:rPr>
            </w:pPr>
            <w:r w:rsidRPr="00FF119E">
              <w:rPr>
                <w:b/>
                <w:sz w:val="24"/>
                <w:szCs w:val="24"/>
              </w:rPr>
              <w:t>Skutočné</w:t>
            </w:r>
            <w:r w:rsidRPr="00FF119E">
              <w:rPr>
                <w:b/>
                <w:spacing w:val="-12"/>
                <w:sz w:val="24"/>
                <w:szCs w:val="24"/>
              </w:rPr>
              <w:t xml:space="preserve"> </w:t>
            </w:r>
            <w:r w:rsidRPr="00FF119E">
              <w:rPr>
                <w:b/>
                <w:sz w:val="24"/>
                <w:szCs w:val="24"/>
              </w:rPr>
              <w:t>bežné</w:t>
            </w:r>
            <w:r w:rsidRPr="00FF119E">
              <w:rPr>
                <w:b/>
                <w:spacing w:val="-9"/>
                <w:sz w:val="24"/>
                <w:szCs w:val="24"/>
              </w:rPr>
              <w:t xml:space="preserve"> </w:t>
            </w:r>
            <w:r w:rsidRPr="00FF119E">
              <w:rPr>
                <w:b/>
                <w:sz w:val="24"/>
                <w:szCs w:val="24"/>
              </w:rPr>
              <w:t>príjmy</w:t>
            </w:r>
            <w:r w:rsidRPr="00FF119E">
              <w:rPr>
                <w:b/>
                <w:spacing w:val="-12"/>
                <w:sz w:val="24"/>
                <w:szCs w:val="24"/>
              </w:rPr>
              <w:t xml:space="preserve"> </w:t>
            </w:r>
            <w:r w:rsidRPr="00FF119E">
              <w:rPr>
                <w:b/>
                <w:sz w:val="24"/>
                <w:szCs w:val="24"/>
              </w:rPr>
              <w:t>z</w:t>
            </w:r>
            <w:r w:rsidRPr="00FF119E">
              <w:rPr>
                <w:b/>
                <w:spacing w:val="-2"/>
                <w:sz w:val="24"/>
                <w:szCs w:val="24"/>
              </w:rPr>
              <w:t xml:space="preserve"> </w:t>
            </w:r>
            <w:r w:rsidRPr="00FF119E">
              <w:rPr>
                <w:b/>
                <w:sz w:val="24"/>
                <w:szCs w:val="24"/>
              </w:rPr>
              <w:t>finančného</w:t>
            </w:r>
            <w:r w:rsidRPr="00FF119E">
              <w:rPr>
                <w:b/>
                <w:spacing w:val="-10"/>
                <w:sz w:val="24"/>
                <w:szCs w:val="24"/>
              </w:rPr>
              <w:t xml:space="preserve"> </w:t>
            </w:r>
            <w:r w:rsidRPr="00FF119E">
              <w:rPr>
                <w:b/>
                <w:sz w:val="24"/>
                <w:szCs w:val="24"/>
              </w:rPr>
              <w:t>výkazu</w:t>
            </w:r>
            <w:r w:rsidRPr="00FF119E">
              <w:rPr>
                <w:b/>
                <w:spacing w:val="-11"/>
                <w:sz w:val="24"/>
                <w:szCs w:val="24"/>
              </w:rPr>
              <w:t xml:space="preserve"> </w:t>
            </w:r>
            <w:r w:rsidRPr="00FF119E">
              <w:rPr>
                <w:b/>
                <w:sz w:val="24"/>
                <w:szCs w:val="24"/>
              </w:rPr>
              <w:t>FIN</w:t>
            </w:r>
            <w:r w:rsidRPr="00FF119E">
              <w:rPr>
                <w:b/>
                <w:spacing w:val="-9"/>
                <w:sz w:val="24"/>
                <w:szCs w:val="24"/>
              </w:rPr>
              <w:t xml:space="preserve"> </w:t>
            </w:r>
            <w:r w:rsidRPr="00FF119E">
              <w:rPr>
                <w:b/>
                <w:sz w:val="24"/>
                <w:szCs w:val="24"/>
              </w:rPr>
              <w:t>1-12</w:t>
            </w:r>
            <w:r w:rsidRPr="00FF119E">
              <w:rPr>
                <w:b/>
                <w:spacing w:val="-7"/>
                <w:sz w:val="24"/>
                <w:szCs w:val="24"/>
              </w:rPr>
              <w:t xml:space="preserve"> </w:t>
            </w:r>
            <w:r w:rsidRPr="00FF119E">
              <w:rPr>
                <w:b/>
                <w:sz w:val="24"/>
                <w:szCs w:val="24"/>
              </w:rPr>
              <w:t>k</w:t>
            </w:r>
            <w:r w:rsidR="00475162" w:rsidRPr="00FF119E">
              <w:rPr>
                <w:b/>
                <w:spacing w:val="-3"/>
                <w:sz w:val="24"/>
                <w:szCs w:val="24"/>
              </w:rPr>
              <w:t xml:space="preserve"> </w:t>
            </w:r>
            <w:r w:rsidRPr="00FF119E">
              <w:rPr>
                <w:b/>
                <w:spacing w:val="-2"/>
                <w:sz w:val="24"/>
                <w:szCs w:val="24"/>
              </w:rPr>
              <w:t>31.12.2023</w:t>
            </w:r>
          </w:p>
          <w:p w14:paraId="2514D98B" w14:textId="47309496" w:rsidR="00475162" w:rsidRPr="00FF119E" w:rsidRDefault="00475162" w:rsidP="00475162">
            <w:pPr>
              <w:pStyle w:val="TableParagraph"/>
              <w:spacing w:before="140"/>
              <w:ind w:left="107"/>
              <w:rPr>
                <w:spacing w:val="-3"/>
                <w:sz w:val="24"/>
                <w:szCs w:val="24"/>
              </w:rPr>
            </w:pPr>
            <w:r w:rsidRPr="00FF119E">
              <w:rPr>
                <w:spacing w:val="-3"/>
                <w:sz w:val="24"/>
                <w:szCs w:val="24"/>
              </w:rPr>
              <w:t>Bežné príjmy obce</w:t>
            </w:r>
          </w:p>
          <w:p w14:paraId="2DC1121D" w14:textId="08D16E89" w:rsidR="00475162" w:rsidRPr="00FF119E" w:rsidRDefault="00475162" w:rsidP="00475162">
            <w:pPr>
              <w:pStyle w:val="TableParagraph"/>
              <w:spacing w:before="140"/>
              <w:ind w:left="107"/>
              <w:rPr>
                <w:spacing w:val="-3"/>
                <w:sz w:val="24"/>
                <w:szCs w:val="24"/>
              </w:rPr>
            </w:pPr>
            <w:r w:rsidRPr="00FF119E">
              <w:rPr>
                <w:spacing w:val="-3"/>
                <w:sz w:val="24"/>
                <w:szCs w:val="24"/>
              </w:rPr>
              <w:t>Bežné príjmy RO</w:t>
            </w:r>
          </w:p>
          <w:p w14:paraId="658A4207" w14:textId="67B77D2D" w:rsidR="00FF119E" w:rsidRPr="00FF119E" w:rsidRDefault="00FF119E" w:rsidP="00475162">
            <w:pPr>
              <w:pStyle w:val="TableParagraph"/>
              <w:spacing w:before="140"/>
              <w:ind w:left="107"/>
              <w:rPr>
                <w:spacing w:val="-3"/>
                <w:sz w:val="24"/>
                <w:szCs w:val="24"/>
              </w:rPr>
            </w:pPr>
            <w:r w:rsidRPr="00FF119E">
              <w:rPr>
                <w:spacing w:val="-3"/>
                <w:sz w:val="24"/>
                <w:szCs w:val="24"/>
              </w:rPr>
              <w:t>Úhrn bežných príjmov obce a RO k 31. 12. 2023</w:t>
            </w:r>
          </w:p>
          <w:p w14:paraId="720AE6BA" w14:textId="57039B89" w:rsidR="00475162" w:rsidRPr="00FF119E" w:rsidRDefault="00475162" w:rsidP="00475162">
            <w:pPr>
              <w:pStyle w:val="TableParagraph"/>
              <w:spacing w:before="140"/>
              <w:ind w:left="107"/>
              <w:rPr>
                <w:spacing w:val="-3"/>
                <w:sz w:val="24"/>
                <w:szCs w:val="24"/>
              </w:rPr>
            </w:pPr>
          </w:p>
        </w:tc>
        <w:tc>
          <w:tcPr>
            <w:tcW w:w="2562" w:type="dxa"/>
          </w:tcPr>
          <w:p w14:paraId="441ACCB2" w14:textId="354F1002" w:rsidR="002B0071" w:rsidRPr="00FF119E" w:rsidRDefault="002B0071" w:rsidP="002B0071">
            <w:pPr>
              <w:pStyle w:val="TableParagraph"/>
              <w:spacing w:before="128"/>
              <w:ind w:right="325"/>
              <w:rPr>
                <w:b/>
                <w:sz w:val="24"/>
                <w:szCs w:val="24"/>
              </w:rPr>
            </w:pPr>
            <w:r w:rsidRPr="00FF119E">
              <w:rPr>
                <w:sz w:val="24"/>
                <w:szCs w:val="24"/>
              </w:rPr>
              <w:t xml:space="preserve">     </w:t>
            </w:r>
            <w:r w:rsidR="00FF119E" w:rsidRPr="00FF119E">
              <w:rPr>
                <w:sz w:val="24"/>
                <w:szCs w:val="24"/>
              </w:rPr>
              <w:t xml:space="preserve">   </w:t>
            </w:r>
            <w:r w:rsidR="00FF119E" w:rsidRPr="00FF119E">
              <w:rPr>
                <w:b/>
                <w:sz w:val="24"/>
                <w:szCs w:val="24"/>
              </w:rPr>
              <w:t>Suma v eur</w:t>
            </w:r>
          </w:p>
          <w:p w14:paraId="748FF94D" w14:textId="77777777" w:rsidR="00475162" w:rsidRPr="00FF119E" w:rsidRDefault="00475162" w:rsidP="002B0071">
            <w:pPr>
              <w:pStyle w:val="TableParagraph"/>
              <w:spacing w:before="128"/>
              <w:ind w:right="325"/>
              <w:rPr>
                <w:sz w:val="24"/>
                <w:szCs w:val="24"/>
              </w:rPr>
            </w:pPr>
            <w:r w:rsidRPr="00FF119E">
              <w:rPr>
                <w:sz w:val="24"/>
                <w:szCs w:val="24"/>
              </w:rPr>
              <w:t xml:space="preserve">        8 601 066,77</w:t>
            </w:r>
          </w:p>
          <w:p w14:paraId="06413BE7" w14:textId="77777777" w:rsidR="00475162" w:rsidRPr="00FF119E" w:rsidRDefault="00475162" w:rsidP="002B0071">
            <w:pPr>
              <w:pStyle w:val="TableParagraph"/>
              <w:spacing w:before="128"/>
              <w:ind w:right="325"/>
              <w:rPr>
                <w:sz w:val="24"/>
                <w:szCs w:val="24"/>
              </w:rPr>
            </w:pPr>
            <w:r w:rsidRPr="00FF119E">
              <w:rPr>
                <w:sz w:val="24"/>
                <w:szCs w:val="24"/>
              </w:rPr>
              <w:t xml:space="preserve">           419 360,97</w:t>
            </w:r>
          </w:p>
          <w:p w14:paraId="27427378" w14:textId="0E59956E" w:rsidR="00FF119E" w:rsidRPr="00FF119E" w:rsidRDefault="00FF119E" w:rsidP="002B0071">
            <w:pPr>
              <w:pStyle w:val="TableParagraph"/>
              <w:spacing w:before="128"/>
              <w:ind w:right="325"/>
              <w:rPr>
                <w:sz w:val="24"/>
                <w:szCs w:val="24"/>
              </w:rPr>
            </w:pPr>
            <w:r w:rsidRPr="00FF119E">
              <w:rPr>
                <w:sz w:val="24"/>
                <w:szCs w:val="24"/>
              </w:rPr>
              <w:t xml:space="preserve">        9 020 427,74</w:t>
            </w:r>
          </w:p>
        </w:tc>
      </w:tr>
      <w:tr w:rsidR="002B0071" w:rsidRPr="002B0071" w14:paraId="1CEDEF3B" w14:textId="77777777" w:rsidTr="00FF119E">
        <w:trPr>
          <w:trHeight w:val="952"/>
        </w:trPr>
        <w:tc>
          <w:tcPr>
            <w:tcW w:w="7094" w:type="dxa"/>
          </w:tcPr>
          <w:p w14:paraId="2B5C49C5" w14:textId="6C43EE00" w:rsidR="002B0071" w:rsidRPr="002B0071" w:rsidRDefault="002B0071" w:rsidP="00952F90">
            <w:pPr>
              <w:pStyle w:val="TableParagraph"/>
              <w:spacing w:before="15" w:line="230" w:lineRule="auto"/>
              <w:ind w:left="107"/>
              <w:rPr>
                <w:sz w:val="24"/>
                <w:szCs w:val="24"/>
              </w:rPr>
            </w:pPr>
            <w:r w:rsidRPr="002B0071">
              <w:rPr>
                <w:sz w:val="24"/>
                <w:szCs w:val="24"/>
              </w:rPr>
              <w:t>Skutočné</w:t>
            </w:r>
            <w:r w:rsidRPr="002B0071">
              <w:rPr>
                <w:spacing w:val="80"/>
                <w:sz w:val="24"/>
                <w:szCs w:val="24"/>
              </w:rPr>
              <w:t xml:space="preserve"> </w:t>
            </w:r>
            <w:r w:rsidRPr="002B0071">
              <w:rPr>
                <w:sz w:val="24"/>
                <w:szCs w:val="24"/>
              </w:rPr>
              <w:t>bežné</w:t>
            </w:r>
            <w:r w:rsidRPr="002B0071">
              <w:rPr>
                <w:spacing w:val="80"/>
                <w:sz w:val="24"/>
                <w:szCs w:val="24"/>
              </w:rPr>
              <w:t xml:space="preserve"> </w:t>
            </w:r>
            <w:r w:rsidRPr="002B0071">
              <w:rPr>
                <w:sz w:val="24"/>
                <w:szCs w:val="24"/>
              </w:rPr>
              <w:t>príjmy</w:t>
            </w:r>
            <w:r w:rsidRPr="002B0071">
              <w:rPr>
                <w:spacing w:val="80"/>
                <w:sz w:val="24"/>
                <w:szCs w:val="24"/>
              </w:rPr>
              <w:t xml:space="preserve"> </w:t>
            </w:r>
            <w:r w:rsidRPr="002B0071">
              <w:rPr>
                <w:b/>
                <w:sz w:val="24"/>
                <w:szCs w:val="24"/>
              </w:rPr>
              <w:t>k</w:t>
            </w:r>
            <w:r w:rsidRPr="002B0071">
              <w:rPr>
                <w:b/>
                <w:spacing w:val="-2"/>
                <w:sz w:val="24"/>
                <w:szCs w:val="24"/>
              </w:rPr>
              <w:t xml:space="preserve"> </w:t>
            </w:r>
            <w:r w:rsidRPr="002B0071">
              <w:rPr>
                <w:b/>
                <w:sz w:val="24"/>
                <w:szCs w:val="24"/>
              </w:rPr>
              <w:t>31.12.2023</w:t>
            </w:r>
            <w:r w:rsidRPr="002B0071">
              <w:rPr>
                <w:b/>
                <w:spacing w:val="80"/>
                <w:sz w:val="24"/>
                <w:szCs w:val="24"/>
              </w:rPr>
              <w:t xml:space="preserve"> </w:t>
            </w:r>
            <w:r w:rsidRPr="002B0071">
              <w:rPr>
                <w:b/>
                <w:sz w:val="24"/>
                <w:szCs w:val="24"/>
                <w:u w:val="single"/>
              </w:rPr>
              <w:t>znížené</w:t>
            </w:r>
            <w:r w:rsidRPr="002B0071">
              <w:rPr>
                <w:b/>
                <w:spacing w:val="80"/>
                <w:sz w:val="24"/>
                <w:szCs w:val="24"/>
              </w:rPr>
              <w:t xml:space="preserve"> </w:t>
            </w:r>
            <w:r w:rsidRPr="002B0071">
              <w:rPr>
                <w:sz w:val="24"/>
                <w:szCs w:val="24"/>
              </w:rPr>
              <w:t>o</w:t>
            </w:r>
            <w:r w:rsidRPr="002B0071">
              <w:rPr>
                <w:spacing w:val="80"/>
                <w:sz w:val="24"/>
                <w:szCs w:val="24"/>
              </w:rPr>
              <w:t xml:space="preserve"> </w:t>
            </w:r>
            <w:r w:rsidRPr="002B0071">
              <w:rPr>
                <w:sz w:val="24"/>
                <w:szCs w:val="24"/>
              </w:rPr>
              <w:t>prostriedky poskytnuté</w:t>
            </w:r>
            <w:r w:rsidRPr="002B0071">
              <w:rPr>
                <w:spacing w:val="-11"/>
                <w:sz w:val="24"/>
                <w:szCs w:val="24"/>
              </w:rPr>
              <w:t xml:space="preserve"> </w:t>
            </w:r>
            <w:r w:rsidRPr="002B0071">
              <w:rPr>
                <w:sz w:val="24"/>
                <w:szCs w:val="24"/>
              </w:rPr>
              <w:t>v</w:t>
            </w:r>
            <w:r w:rsidRPr="002B0071">
              <w:rPr>
                <w:spacing w:val="-11"/>
                <w:sz w:val="24"/>
                <w:szCs w:val="24"/>
              </w:rPr>
              <w:t xml:space="preserve"> </w:t>
            </w:r>
            <w:r w:rsidRPr="002B0071">
              <w:rPr>
                <w:sz w:val="24"/>
                <w:szCs w:val="24"/>
              </w:rPr>
              <w:t>príslušnom</w:t>
            </w:r>
            <w:r w:rsidRPr="002B0071">
              <w:rPr>
                <w:spacing w:val="-11"/>
                <w:sz w:val="24"/>
                <w:szCs w:val="24"/>
              </w:rPr>
              <w:t xml:space="preserve"> </w:t>
            </w:r>
            <w:r w:rsidRPr="002B0071">
              <w:rPr>
                <w:sz w:val="24"/>
                <w:szCs w:val="24"/>
              </w:rPr>
              <w:t>rozpočtovom</w:t>
            </w:r>
            <w:r w:rsidRPr="002B0071">
              <w:rPr>
                <w:spacing w:val="-13"/>
                <w:sz w:val="24"/>
                <w:szCs w:val="24"/>
              </w:rPr>
              <w:t xml:space="preserve"> </w:t>
            </w:r>
            <w:r w:rsidRPr="002B0071">
              <w:rPr>
                <w:sz w:val="24"/>
                <w:szCs w:val="24"/>
              </w:rPr>
              <w:t>roku</w:t>
            </w:r>
            <w:r w:rsidRPr="002B0071">
              <w:rPr>
                <w:spacing w:val="-9"/>
                <w:sz w:val="24"/>
                <w:szCs w:val="24"/>
              </w:rPr>
              <w:t xml:space="preserve"> </w:t>
            </w:r>
            <w:r w:rsidRPr="002B0071">
              <w:rPr>
                <w:sz w:val="24"/>
                <w:szCs w:val="24"/>
              </w:rPr>
              <w:t>mestu</w:t>
            </w:r>
            <w:r w:rsidRPr="002B0071">
              <w:rPr>
                <w:spacing w:val="-11"/>
                <w:sz w:val="24"/>
                <w:szCs w:val="24"/>
              </w:rPr>
              <w:t xml:space="preserve"> </w:t>
            </w:r>
            <w:r w:rsidRPr="002B0071">
              <w:rPr>
                <w:sz w:val="24"/>
                <w:szCs w:val="24"/>
              </w:rPr>
              <w:t>z</w:t>
            </w:r>
            <w:r w:rsidRPr="002B0071">
              <w:rPr>
                <w:spacing w:val="-9"/>
                <w:sz w:val="24"/>
                <w:szCs w:val="24"/>
              </w:rPr>
              <w:t xml:space="preserve"> </w:t>
            </w:r>
            <w:r w:rsidRPr="002B0071">
              <w:rPr>
                <w:sz w:val="24"/>
                <w:szCs w:val="24"/>
              </w:rPr>
              <w:t>rozpočtu</w:t>
            </w:r>
            <w:r w:rsidRPr="002B0071">
              <w:rPr>
                <w:spacing w:val="-10"/>
                <w:sz w:val="24"/>
                <w:szCs w:val="24"/>
              </w:rPr>
              <w:t xml:space="preserve"> </w:t>
            </w:r>
            <w:r w:rsidRPr="002B0071">
              <w:rPr>
                <w:sz w:val="24"/>
                <w:szCs w:val="24"/>
              </w:rPr>
              <w:t>iného</w:t>
            </w:r>
            <w:r w:rsidRPr="002B0071">
              <w:rPr>
                <w:spacing w:val="-9"/>
                <w:sz w:val="24"/>
                <w:szCs w:val="24"/>
              </w:rPr>
              <w:t xml:space="preserve"> </w:t>
            </w:r>
            <w:r w:rsidRPr="002B0071">
              <w:rPr>
                <w:spacing w:val="-2"/>
                <w:sz w:val="24"/>
                <w:szCs w:val="24"/>
              </w:rPr>
              <w:t>subjektu</w:t>
            </w:r>
            <w:r w:rsidR="00952F90">
              <w:rPr>
                <w:sz w:val="24"/>
                <w:szCs w:val="24"/>
              </w:rPr>
              <w:t xml:space="preserve"> </w:t>
            </w:r>
            <w:r w:rsidRPr="002B0071">
              <w:rPr>
                <w:sz w:val="24"/>
                <w:szCs w:val="24"/>
              </w:rPr>
              <w:t>verejnej správy, prostriedky</w:t>
            </w:r>
            <w:r w:rsidRPr="002B0071">
              <w:rPr>
                <w:spacing w:val="-4"/>
                <w:sz w:val="24"/>
                <w:szCs w:val="24"/>
              </w:rPr>
              <w:t xml:space="preserve"> </w:t>
            </w:r>
            <w:r w:rsidRPr="002B0071">
              <w:rPr>
                <w:sz w:val="24"/>
                <w:szCs w:val="24"/>
              </w:rPr>
              <w:t>poskytnuté z Európskej únie a iné prostriedky zo zahraničia alebo prostriedky získané na základe osobitného predpisu.</w:t>
            </w:r>
          </w:p>
        </w:tc>
        <w:tc>
          <w:tcPr>
            <w:tcW w:w="2562" w:type="dxa"/>
          </w:tcPr>
          <w:p w14:paraId="0E86D799" w14:textId="77777777" w:rsidR="002B0071" w:rsidRPr="002B0071" w:rsidRDefault="002B0071" w:rsidP="00204E5B">
            <w:pPr>
              <w:pStyle w:val="TableParagraph"/>
              <w:spacing w:before="3"/>
              <w:rPr>
                <w:b/>
                <w:sz w:val="24"/>
                <w:szCs w:val="24"/>
              </w:rPr>
            </w:pPr>
          </w:p>
          <w:p w14:paraId="6609B191" w14:textId="54B85B28" w:rsidR="002B0071" w:rsidRPr="002B0071" w:rsidRDefault="002B0071" w:rsidP="00FF119E">
            <w:pPr>
              <w:pStyle w:val="TableParagraph"/>
              <w:ind w:right="325"/>
              <w:rPr>
                <w:sz w:val="24"/>
                <w:szCs w:val="24"/>
              </w:rPr>
            </w:pPr>
            <w:r w:rsidRPr="002B0071">
              <w:rPr>
                <w:sz w:val="24"/>
                <w:szCs w:val="24"/>
              </w:rPr>
              <w:t xml:space="preserve"> </w:t>
            </w:r>
            <w:r w:rsidR="00FF119E">
              <w:rPr>
                <w:sz w:val="24"/>
                <w:szCs w:val="24"/>
              </w:rPr>
              <w:t xml:space="preserve">        5 463 821,12 </w:t>
            </w:r>
          </w:p>
        </w:tc>
      </w:tr>
    </w:tbl>
    <w:p w14:paraId="081BD512" w14:textId="5CA88668" w:rsidR="002B0071" w:rsidRDefault="00FF119E" w:rsidP="00897B74">
      <w:pPr>
        <w:adjustRightInd w:val="0"/>
        <w:spacing w:before="240"/>
      </w:pPr>
      <w:r>
        <w:rPr>
          <w:b/>
          <w:bCs/>
          <w:color w:val="000000"/>
          <w:sz w:val="24"/>
          <w:szCs w:val="24"/>
        </w:rPr>
        <w:t xml:space="preserve"> </w:t>
      </w:r>
    </w:p>
    <w:p w14:paraId="17C29E5D" w14:textId="5AF3161D" w:rsidR="003D1EEC" w:rsidRPr="008050DC" w:rsidRDefault="003D1EEC" w:rsidP="008050DC">
      <w:pPr>
        <w:pStyle w:val="Odsekzoznamu"/>
        <w:numPr>
          <w:ilvl w:val="0"/>
          <w:numId w:val="6"/>
        </w:numPr>
        <w:tabs>
          <w:tab w:val="left" w:pos="362"/>
        </w:tabs>
        <w:spacing w:line="274" w:lineRule="exact"/>
        <w:rPr>
          <w:b/>
          <w:sz w:val="24"/>
        </w:rPr>
      </w:pPr>
      <w:r w:rsidRPr="008050DC">
        <w:rPr>
          <w:b/>
          <w:sz w:val="24"/>
        </w:rPr>
        <w:t>Celková</w:t>
      </w:r>
      <w:r w:rsidRPr="008050DC">
        <w:rPr>
          <w:b/>
          <w:spacing w:val="-3"/>
          <w:sz w:val="24"/>
        </w:rPr>
        <w:t xml:space="preserve"> </w:t>
      </w:r>
      <w:r w:rsidRPr="008050DC">
        <w:rPr>
          <w:b/>
          <w:sz w:val="24"/>
        </w:rPr>
        <w:t>posudzovaná</w:t>
      </w:r>
      <w:r w:rsidRPr="008050DC">
        <w:rPr>
          <w:b/>
          <w:spacing w:val="-2"/>
          <w:sz w:val="24"/>
        </w:rPr>
        <w:t xml:space="preserve"> </w:t>
      </w:r>
      <w:r w:rsidRPr="008050DC">
        <w:rPr>
          <w:b/>
          <w:sz w:val="24"/>
        </w:rPr>
        <w:t>suma</w:t>
      </w:r>
      <w:r w:rsidRPr="008050DC">
        <w:rPr>
          <w:b/>
          <w:spacing w:val="-2"/>
          <w:sz w:val="24"/>
        </w:rPr>
        <w:t xml:space="preserve"> </w:t>
      </w:r>
      <w:r w:rsidRPr="008050DC">
        <w:rPr>
          <w:b/>
          <w:sz w:val="24"/>
        </w:rPr>
        <w:t>dlhu</w:t>
      </w:r>
      <w:r w:rsidRPr="008050DC">
        <w:rPr>
          <w:b/>
          <w:spacing w:val="-2"/>
          <w:sz w:val="24"/>
        </w:rPr>
        <w:t xml:space="preserve"> mesta</w:t>
      </w:r>
    </w:p>
    <w:p w14:paraId="20420E0F" w14:textId="77777777" w:rsidR="003D1EEC" w:rsidRDefault="003D1EEC" w:rsidP="003D1EEC">
      <w:pPr>
        <w:pStyle w:val="Zkladntext"/>
        <w:ind w:left="121" w:right="529"/>
        <w:jc w:val="both"/>
      </w:pPr>
      <w:r>
        <w:t xml:space="preserve">Podľa § 17 ods. 7 zákona č. 583/2004 Z.Z v z. n. z. </w:t>
      </w:r>
      <w:r>
        <w:rPr>
          <w:b/>
        </w:rPr>
        <w:t xml:space="preserve">celkovou sumou dlhu </w:t>
      </w:r>
      <w:bookmarkStart w:id="1" w:name="_Hlk172207388"/>
      <w:r>
        <w:rPr>
          <w:b/>
        </w:rPr>
        <w:t xml:space="preserve">mesta </w:t>
      </w:r>
      <w:r>
        <w:t>sa na účely tohto zákona rozumie súhrn záväzkov vyplývajúcich zo splácania istín návratných zdrojov</w:t>
      </w:r>
      <w:r>
        <w:rPr>
          <w:spacing w:val="40"/>
        </w:rPr>
        <w:t xml:space="preserve"> </w:t>
      </w:r>
      <w:r>
        <w:t>financovania, záväzkov z investičných</w:t>
      </w:r>
      <w:r>
        <w:rPr>
          <w:spacing w:val="40"/>
        </w:rPr>
        <w:t xml:space="preserve"> </w:t>
      </w:r>
      <w:r>
        <w:t>dodávateľských</w:t>
      </w:r>
      <w:r>
        <w:rPr>
          <w:spacing w:val="40"/>
        </w:rPr>
        <w:t xml:space="preserve"> </w:t>
      </w:r>
      <w:r>
        <w:t>úverov a ručiteľských záväzkov obce, okrem výnimiek uvedených v § 17 ods. 8 citovaného zákona.</w:t>
      </w:r>
    </w:p>
    <w:bookmarkEnd w:id="1"/>
    <w:p w14:paraId="212218BD" w14:textId="37B9E5AC" w:rsidR="003D1EEC" w:rsidRPr="007C2D9B" w:rsidRDefault="007C2D9B" w:rsidP="003D1EEC">
      <w:pPr>
        <w:spacing w:after="8" w:line="274" w:lineRule="exact"/>
        <w:ind w:right="1400"/>
        <w:jc w:val="right"/>
        <w:rPr>
          <w:sz w:val="24"/>
        </w:rPr>
      </w:pPr>
      <w:r>
        <w:rPr>
          <w:sz w:val="24"/>
        </w:rPr>
        <w:t xml:space="preserve">    v eur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127"/>
        <w:gridCol w:w="944"/>
        <w:gridCol w:w="1304"/>
        <w:gridCol w:w="1300"/>
        <w:gridCol w:w="1565"/>
        <w:gridCol w:w="986"/>
      </w:tblGrid>
      <w:tr w:rsidR="003D1EEC" w14:paraId="2001A084" w14:textId="77777777" w:rsidTr="007C2D9B">
        <w:trPr>
          <w:trHeight w:val="1339"/>
        </w:trPr>
        <w:tc>
          <w:tcPr>
            <w:tcW w:w="1560" w:type="dxa"/>
            <w:vAlign w:val="center"/>
          </w:tcPr>
          <w:p w14:paraId="341BC27C" w14:textId="77777777" w:rsidR="003D1EEC" w:rsidRDefault="003D1EEC" w:rsidP="00204E5B">
            <w:pPr>
              <w:pStyle w:val="TableParagraph"/>
              <w:rPr>
                <w:i/>
              </w:rPr>
            </w:pPr>
          </w:p>
          <w:p w14:paraId="2800CEE3" w14:textId="77777777" w:rsidR="003D1EEC" w:rsidRDefault="003D1EEC" w:rsidP="00204E5B">
            <w:pPr>
              <w:pStyle w:val="TableParagraph"/>
              <w:spacing w:before="174" w:line="241" w:lineRule="exact"/>
              <w:ind w:left="69"/>
              <w:rPr>
                <w:sz w:val="21"/>
              </w:rPr>
            </w:pPr>
            <w:r>
              <w:rPr>
                <w:spacing w:val="-2"/>
                <w:sz w:val="21"/>
              </w:rPr>
              <w:t>Veriteľ</w:t>
            </w:r>
          </w:p>
          <w:p w14:paraId="420DAB03" w14:textId="77777777" w:rsidR="003D1EEC" w:rsidRDefault="003D1EEC" w:rsidP="00204E5B">
            <w:pPr>
              <w:pStyle w:val="TableParagraph"/>
              <w:spacing w:line="229" w:lineRule="exact"/>
              <w:ind w:left="69"/>
              <w:rPr>
                <w:sz w:val="20"/>
              </w:rPr>
            </w:pPr>
            <w:r>
              <w:rPr>
                <w:sz w:val="20"/>
              </w:rPr>
              <w:t>Číslo</w:t>
            </w:r>
            <w:r>
              <w:rPr>
                <w:spacing w:val="-6"/>
                <w:sz w:val="20"/>
              </w:rPr>
              <w:t xml:space="preserve"> </w:t>
            </w:r>
            <w:r>
              <w:rPr>
                <w:spacing w:val="-2"/>
                <w:sz w:val="20"/>
              </w:rPr>
              <w:t>zmluvy</w:t>
            </w:r>
          </w:p>
        </w:tc>
        <w:tc>
          <w:tcPr>
            <w:tcW w:w="2127" w:type="dxa"/>
            <w:vAlign w:val="center"/>
          </w:tcPr>
          <w:p w14:paraId="2166760C" w14:textId="77777777" w:rsidR="003D1EEC" w:rsidRDefault="003D1EEC" w:rsidP="00204E5B">
            <w:pPr>
              <w:pStyle w:val="TableParagraph"/>
              <w:rPr>
                <w:i/>
              </w:rPr>
            </w:pPr>
          </w:p>
          <w:p w14:paraId="72CB69AC" w14:textId="77777777" w:rsidR="003D1EEC" w:rsidRDefault="003D1EEC" w:rsidP="00204E5B">
            <w:pPr>
              <w:pStyle w:val="TableParagraph"/>
              <w:spacing w:before="2"/>
              <w:rPr>
                <w:i/>
                <w:sz w:val="25"/>
              </w:rPr>
            </w:pPr>
          </w:p>
          <w:p w14:paraId="00A1D7FC" w14:textId="77777777" w:rsidR="003D1EEC" w:rsidRDefault="003D1EEC" w:rsidP="00204E5B">
            <w:pPr>
              <w:pStyle w:val="TableParagraph"/>
              <w:ind w:left="69"/>
              <w:rPr>
                <w:sz w:val="21"/>
              </w:rPr>
            </w:pPr>
            <w:r>
              <w:rPr>
                <w:spacing w:val="-4"/>
                <w:sz w:val="21"/>
              </w:rPr>
              <w:t>Účel</w:t>
            </w:r>
          </w:p>
        </w:tc>
        <w:tc>
          <w:tcPr>
            <w:tcW w:w="944" w:type="dxa"/>
            <w:vAlign w:val="center"/>
          </w:tcPr>
          <w:p w14:paraId="5BE7929F" w14:textId="77777777" w:rsidR="003D1EEC" w:rsidRDefault="003D1EEC" w:rsidP="00204E5B">
            <w:pPr>
              <w:pStyle w:val="TableParagraph"/>
              <w:rPr>
                <w:i/>
              </w:rPr>
            </w:pPr>
          </w:p>
          <w:p w14:paraId="5DF0C0D1" w14:textId="77777777" w:rsidR="003D1EEC" w:rsidRDefault="003D1EEC" w:rsidP="00204E5B">
            <w:pPr>
              <w:pStyle w:val="TableParagraph"/>
              <w:spacing w:before="167"/>
              <w:ind w:left="78" w:firstLine="24"/>
              <w:rPr>
                <w:sz w:val="21"/>
              </w:rPr>
            </w:pPr>
            <w:r>
              <w:rPr>
                <w:spacing w:val="-2"/>
                <w:sz w:val="21"/>
              </w:rPr>
              <w:t>Začiatok splácania</w:t>
            </w:r>
          </w:p>
        </w:tc>
        <w:tc>
          <w:tcPr>
            <w:tcW w:w="1304" w:type="dxa"/>
            <w:vAlign w:val="center"/>
          </w:tcPr>
          <w:p w14:paraId="7821FC2C" w14:textId="77777777" w:rsidR="003D1EEC" w:rsidRDefault="003D1EEC" w:rsidP="00204E5B">
            <w:pPr>
              <w:pStyle w:val="TableParagraph"/>
              <w:spacing w:before="1"/>
              <w:rPr>
                <w:i/>
                <w:sz w:val="26"/>
              </w:rPr>
            </w:pPr>
          </w:p>
          <w:p w14:paraId="4AD4138D" w14:textId="77777777" w:rsidR="003D1EEC" w:rsidRDefault="003D1EEC" w:rsidP="00204E5B">
            <w:pPr>
              <w:pStyle w:val="TableParagraph"/>
              <w:ind w:left="85" w:right="75" w:hanging="1"/>
              <w:jc w:val="center"/>
              <w:rPr>
                <w:sz w:val="21"/>
              </w:rPr>
            </w:pPr>
            <w:r>
              <w:rPr>
                <w:spacing w:val="-2"/>
                <w:sz w:val="21"/>
              </w:rPr>
              <w:t>Výška poskytnutého úveru/NFV</w:t>
            </w:r>
          </w:p>
        </w:tc>
        <w:tc>
          <w:tcPr>
            <w:tcW w:w="1300" w:type="dxa"/>
            <w:vAlign w:val="center"/>
          </w:tcPr>
          <w:p w14:paraId="44FEF3E5" w14:textId="77777777" w:rsidR="003D1EEC" w:rsidRDefault="003D1EEC" w:rsidP="00204E5B">
            <w:pPr>
              <w:pStyle w:val="TableParagraph"/>
              <w:spacing w:before="1"/>
              <w:rPr>
                <w:i/>
                <w:sz w:val="26"/>
              </w:rPr>
            </w:pPr>
          </w:p>
          <w:p w14:paraId="03DF72B5" w14:textId="46531D53" w:rsidR="003D1EEC" w:rsidRDefault="003D1EEC" w:rsidP="00204E5B">
            <w:pPr>
              <w:pStyle w:val="TableParagraph"/>
              <w:ind w:left="80" w:right="66" w:firstLine="199"/>
              <w:rPr>
                <w:sz w:val="21"/>
              </w:rPr>
            </w:pPr>
            <w:r>
              <w:rPr>
                <w:spacing w:val="-2"/>
                <w:sz w:val="21"/>
              </w:rPr>
              <w:t xml:space="preserve">Zostatok </w:t>
            </w:r>
            <w:r>
              <w:rPr>
                <w:sz w:val="21"/>
              </w:rPr>
              <w:t>úveru</w:t>
            </w:r>
            <w:r>
              <w:rPr>
                <w:spacing w:val="-14"/>
                <w:sz w:val="21"/>
              </w:rPr>
              <w:t xml:space="preserve"> </w:t>
            </w:r>
            <w:r>
              <w:rPr>
                <w:sz w:val="21"/>
              </w:rPr>
              <w:t xml:space="preserve">(istiny) k </w:t>
            </w:r>
            <w:r>
              <w:rPr>
                <w:spacing w:val="-2"/>
                <w:sz w:val="21"/>
              </w:rPr>
              <w:t>3</w:t>
            </w:r>
            <w:r w:rsidR="00204E5B">
              <w:rPr>
                <w:spacing w:val="-2"/>
                <w:sz w:val="21"/>
              </w:rPr>
              <w:t>1</w:t>
            </w:r>
            <w:r>
              <w:rPr>
                <w:spacing w:val="-2"/>
                <w:sz w:val="21"/>
              </w:rPr>
              <w:t>.12.202</w:t>
            </w:r>
            <w:r w:rsidR="00204E5B">
              <w:rPr>
                <w:spacing w:val="-2"/>
                <w:sz w:val="21"/>
              </w:rPr>
              <w:t>3</w:t>
            </w:r>
          </w:p>
        </w:tc>
        <w:tc>
          <w:tcPr>
            <w:tcW w:w="1565" w:type="dxa"/>
            <w:vAlign w:val="center"/>
          </w:tcPr>
          <w:p w14:paraId="2E404D6A" w14:textId="43397AED" w:rsidR="003D1EEC" w:rsidRDefault="003D1EEC" w:rsidP="00204E5B">
            <w:pPr>
              <w:pStyle w:val="TableParagraph"/>
              <w:spacing w:before="34"/>
              <w:ind w:left="67" w:right="295" w:firstLine="1"/>
              <w:jc w:val="center"/>
              <w:rPr>
                <w:b/>
              </w:rPr>
            </w:pPr>
            <w:r>
              <w:rPr>
                <w:b/>
                <w:spacing w:val="-2"/>
              </w:rPr>
              <w:t>Zostatok úveru</w:t>
            </w:r>
            <w:r w:rsidR="007C2D9B">
              <w:rPr>
                <w:b/>
                <w:spacing w:val="-2"/>
              </w:rPr>
              <w:t xml:space="preserve"> </w:t>
            </w:r>
            <w:r>
              <w:rPr>
                <w:b/>
                <w:spacing w:val="-2"/>
              </w:rPr>
              <w:t xml:space="preserve">(istiny) </w:t>
            </w:r>
            <w:r>
              <w:rPr>
                <w:b/>
              </w:rPr>
              <w:t>k 30.6.202</w:t>
            </w:r>
            <w:r w:rsidR="00204E5B">
              <w:rPr>
                <w:b/>
              </w:rPr>
              <w:t>4</w:t>
            </w:r>
          </w:p>
          <w:p w14:paraId="73E6B62B" w14:textId="77777777" w:rsidR="003D1EEC" w:rsidRDefault="003D1EEC" w:rsidP="00204E5B">
            <w:pPr>
              <w:pStyle w:val="TableParagraph"/>
              <w:spacing w:before="3"/>
              <w:ind w:left="108" w:right="333"/>
              <w:jc w:val="center"/>
              <w:rPr>
                <w:b/>
              </w:rPr>
            </w:pPr>
            <w:r>
              <w:rPr>
                <w:b/>
              </w:rPr>
              <w:t>+</w:t>
            </w:r>
            <w:r>
              <w:rPr>
                <w:b/>
                <w:spacing w:val="-5"/>
              </w:rPr>
              <w:t xml:space="preserve"> </w:t>
            </w:r>
            <w:r>
              <w:rPr>
                <w:b/>
              </w:rPr>
              <w:t>nový</w:t>
            </w:r>
            <w:r>
              <w:rPr>
                <w:b/>
                <w:spacing w:val="-1"/>
              </w:rPr>
              <w:t xml:space="preserve"> </w:t>
            </w:r>
            <w:r>
              <w:rPr>
                <w:b/>
                <w:spacing w:val="-4"/>
              </w:rPr>
              <w:t>úver</w:t>
            </w:r>
          </w:p>
        </w:tc>
        <w:tc>
          <w:tcPr>
            <w:tcW w:w="986" w:type="dxa"/>
            <w:vAlign w:val="center"/>
          </w:tcPr>
          <w:p w14:paraId="74E78794" w14:textId="77777777" w:rsidR="003D1EEC" w:rsidRDefault="003D1EEC" w:rsidP="00204E5B">
            <w:pPr>
              <w:pStyle w:val="TableParagraph"/>
              <w:rPr>
                <w:i/>
              </w:rPr>
            </w:pPr>
          </w:p>
          <w:p w14:paraId="7149319F" w14:textId="77777777" w:rsidR="003D1EEC" w:rsidRDefault="003D1EEC" w:rsidP="00204E5B">
            <w:pPr>
              <w:pStyle w:val="TableParagraph"/>
              <w:spacing w:before="167"/>
              <w:ind w:left="76" w:firstLine="225"/>
              <w:rPr>
                <w:sz w:val="21"/>
              </w:rPr>
            </w:pPr>
            <w:r>
              <w:rPr>
                <w:spacing w:val="-4"/>
                <w:sz w:val="21"/>
              </w:rPr>
              <w:t xml:space="preserve">Rok </w:t>
            </w:r>
            <w:r>
              <w:rPr>
                <w:spacing w:val="-2"/>
                <w:sz w:val="21"/>
              </w:rPr>
              <w:t>splatnosti</w:t>
            </w:r>
          </w:p>
        </w:tc>
      </w:tr>
      <w:tr w:rsidR="00A503D7" w14:paraId="3B872861" w14:textId="77777777" w:rsidTr="007C2D9B">
        <w:trPr>
          <w:trHeight w:val="470"/>
        </w:trPr>
        <w:tc>
          <w:tcPr>
            <w:tcW w:w="1560" w:type="dxa"/>
            <w:vAlign w:val="center"/>
          </w:tcPr>
          <w:p w14:paraId="1FE1D3CB" w14:textId="378BAF61" w:rsidR="00A503D7" w:rsidRDefault="00491D4A" w:rsidP="00A503D7">
            <w:pPr>
              <w:pStyle w:val="TableParagraph"/>
              <w:spacing w:line="214" w:lineRule="exact"/>
              <w:ind w:left="69"/>
              <w:rPr>
                <w:sz w:val="20"/>
              </w:rPr>
            </w:pPr>
            <w:r>
              <w:rPr>
                <w:sz w:val="20"/>
              </w:rPr>
              <w:t>ŠF</w:t>
            </w:r>
            <w:r w:rsidR="00984A4D">
              <w:rPr>
                <w:sz w:val="20"/>
              </w:rPr>
              <w:t>RB</w:t>
            </w:r>
          </w:p>
        </w:tc>
        <w:tc>
          <w:tcPr>
            <w:tcW w:w="2127" w:type="dxa"/>
            <w:vAlign w:val="center"/>
          </w:tcPr>
          <w:p w14:paraId="3586D043" w14:textId="2A5036AF" w:rsidR="00A503D7" w:rsidRDefault="00984A4D" w:rsidP="00A503D7">
            <w:pPr>
              <w:pStyle w:val="TableParagraph"/>
              <w:spacing w:line="230" w:lineRule="exact"/>
              <w:ind w:left="69"/>
              <w:rPr>
                <w:sz w:val="20"/>
              </w:rPr>
            </w:pPr>
            <w:r>
              <w:rPr>
                <w:sz w:val="20"/>
              </w:rPr>
              <w:t>Mestské nájomné byty</w:t>
            </w:r>
          </w:p>
        </w:tc>
        <w:tc>
          <w:tcPr>
            <w:tcW w:w="944" w:type="dxa"/>
            <w:vAlign w:val="center"/>
          </w:tcPr>
          <w:p w14:paraId="0FF0790D" w14:textId="77777777" w:rsidR="00A503D7" w:rsidRDefault="00A503D7" w:rsidP="00A503D7">
            <w:pPr>
              <w:pStyle w:val="TableParagraph"/>
              <w:spacing w:before="108"/>
              <w:ind w:right="248"/>
              <w:jc w:val="right"/>
              <w:rPr>
                <w:sz w:val="21"/>
              </w:rPr>
            </w:pPr>
          </w:p>
        </w:tc>
        <w:tc>
          <w:tcPr>
            <w:tcW w:w="1304" w:type="dxa"/>
            <w:vAlign w:val="center"/>
          </w:tcPr>
          <w:p w14:paraId="1760B1FB" w14:textId="6DE9A121" w:rsidR="00A503D7" w:rsidRDefault="00A503D7" w:rsidP="00A503D7">
            <w:pPr>
              <w:pStyle w:val="TableParagraph"/>
              <w:spacing w:before="108"/>
              <w:ind w:right="56"/>
              <w:jc w:val="right"/>
              <w:rPr>
                <w:sz w:val="21"/>
              </w:rPr>
            </w:pPr>
            <w:r>
              <w:rPr>
                <w:sz w:val="21"/>
              </w:rPr>
              <w:t xml:space="preserve">4 632 734,79 </w:t>
            </w:r>
          </w:p>
        </w:tc>
        <w:tc>
          <w:tcPr>
            <w:tcW w:w="1300" w:type="dxa"/>
            <w:vAlign w:val="center"/>
          </w:tcPr>
          <w:p w14:paraId="73989DE2" w14:textId="36D762C1" w:rsidR="00A503D7" w:rsidRDefault="00A503D7" w:rsidP="00A503D7">
            <w:pPr>
              <w:pStyle w:val="TableParagraph"/>
              <w:spacing w:before="108"/>
              <w:ind w:right="58"/>
              <w:jc w:val="right"/>
              <w:rPr>
                <w:sz w:val="21"/>
              </w:rPr>
            </w:pPr>
            <w:r>
              <w:rPr>
                <w:sz w:val="21"/>
              </w:rPr>
              <w:t>2 851 734,93</w:t>
            </w:r>
          </w:p>
        </w:tc>
        <w:tc>
          <w:tcPr>
            <w:tcW w:w="1565" w:type="dxa"/>
            <w:vAlign w:val="center"/>
          </w:tcPr>
          <w:p w14:paraId="40EDCDAE" w14:textId="7FF45203" w:rsidR="00A503D7" w:rsidRDefault="00A503D7" w:rsidP="00A503D7">
            <w:pPr>
              <w:pStyle w:val="TableParagraph"/>
              <w:spacing w:before="108"/>
              <w:ind w:right="61"/>
              <w:jc w:val="right"/>
              <w:rPr>
                <w:sz w:val="21"/>
              </w:rPr>
            </w:pPr>
            <w:r>
              <w:rPr>
                <w:sz w:val="21"/>
              </w:rPr>
              <w:t>2 782 280,56</w:t>
            </w:r>
          </w:p>
        </w:tc>
        <w:tc>
          <w:tcPr>
            <w:tcW w:w="986" w:type="dxa"/>
            <w:vAlign w:val="center"/>
          </w:tcPr>
          <w:p w14:paraId="7DF8594F" w14:textId="2628E4A4" w:rsidR="00A503D7" w:rsidRDefault="00A503D7" w:rsidP="00A503D7">
            <w:pPr>
              <w:pStyle w:val="TableParagraph"/>
              <w:spacing w:before="108"/>
              <w:ind w:left="257" w:right="255"/>
              <w:jc w:val="center"/>
              <w:rPr>
                <w:sz w:val="21"/>
              </w:rPr>
            </w:pPr>
          </w:p>
        </w:tc>
      </w:tr>
      <w:tr w:rsidR="00A503D7" w14:paraId="3A8AEE17" w14:textId="77777777" w:rsidTr="007C2D9B">
        <w:trPr>
          <w:trHeight w:val="323"/>
        </w:trPr>
        <w:tc>
          <w:tcPr>
            <w:tcW w:w="7235" w:type="dxa"/>
            <w:gridSpan w:val="5"/>
            <w:vAlign w:val="center"/>
          </w:tcPr>
          <w:p w14:paraId="70371866" w14:textId="77777777" w:rsidR="00A503D7" w:rsidRDefault="00A503D7" w:rsidP="00A503D7">
            <w:pPr>
              <w:pStyle w:val="TableParagraph"/>
              <w:spacing w:before="39"/>
              <w:ind w:left="69"/>
              <w:rPr>
                <w:b/>
                <w:sz w:val="21"/>
              </w:rPr>
            </w:pPr>
            <w:r>
              <w:rPr>
                <w:b/>
                <w:sz w:val="21"/>
              </w:rPr>
              <w:t>Záväzky</w:t>
            </w:r>
            <w:r>
              <w:rPr>
                <w:b/>
                <w:spacing w:val="-8"/>
                <w:sz w:val="21"/>
              </w:rPr>
              <w:t xml:space="preserve"> </w:t>
            </w:r>
            <w:r>
              <w:rPr>
                <w:b/>
                <w:sz w:val="21"/>
              </w:rPr>
              <w:t>voči</w:t>
            </w:r>
            <w:r>
              <w:rPr>
                <w:b/>
                <w:spacing w:val="-6"/>
                <w:sz w:val="21"/>
              </w:rPr>
              <w:t xml:space="preserve"> </w:t>
            </w:r>
            <w:r>
              <w:rPr>
                <w:b/>
                <w:sz w:val="21"/>
              </w:rPr>
              <w:t>ŠFRB,</w:t>
            </w:r>
            <w:r>
              <w:rPr>
                <w:b/>
                <w:spacing w:val="-5"/>
                <w:sz w:val="21"/>
              </w:rPr>
              <w:t xml:space="preserve"> </w:t>
            </w:r>
            <w:r>
              <w:rPr>
                <w:b/>
                <w:sz w:val="21"/>
              </w:rPr>
              <w:t>ktoré</w:t>
            </w:r>
            <w:r>
              <w:rPr>
                <w:b/>
                <w:spacing w:val="-5"/>
                <w:sz w:val="21"/>
              </w:rPr>
              <w:t xml:space="preserve"> </w:t>
            </w:r>
            <w:r>
              <w:rPr>
                <w:b/>
                <w:sz w:val="21"/>
              </w:rPr>
              <w:t>sa</w:t>
            </w:r>
            <w:r>
              <w:rPr>
                <w:b/>
                <w:spacing w:val="-5"/>
                <w:sz w:val="21"/>
              </w:rPr>
              <w:t xml:space="preserve"> </w:t>
            </w:r>
            <w:r>
              <w:rPr>
                <w:b/>
                <w:sz w:val="21"/>
              </w:rPr>
              <w:t>nezapočítavajú</w:t>
            </w:r>
            <w:r>
              <w:rPr>
                <w:b/>
                <w:spacing w:val="-8"/>
                <w:sz w:val="21"/>
              </w:rPr>
              <w:t xml:space="preserve"> </w:t>
            </w:r>
            <w:r>
              <w:rPr>
                <w:b/>
                <w:sz w:val="21"/>
              </w:rPr>
              <w:t>do</w:t>
            </w:r>
            <w:r>
              <w:rPr>
                <w:b/>
                <w:spacing w:val="-5"/>
                <w:sz w:val="21"/>
              </w:rPr>
              <w:t xml:space="preserve"> </w:t>
            </w:r>
            <w:r>
              <w:rPr>
                <w:b/>
                <w:sz w:val="21"/>
              </w:rPr>
              <w:t>celkovej</w:t>
            </w:r>
            <w:r>
              <w:rPr>
                <w:b/>
                <w:spacing w:val="-6"/>
                <w:sz w:val="21"/>
              </w:rPr>
              <w:t xml:space="preserve"> </w:t>
            </w:r>
            <w:r>
              <w:rPr>
                <w:b/>
                <w:sz w:val="21"/>
              </w:rPr>
              <w:t>sumy</w:t>
            </w:r>
            <w:r>
              <w:rPr>
                <w:b/>
                <w:spacing w:val="-5"/>
                <w:sz w:val="21"/>
              </w:rPr>
              <w:t xml:space="preserve"> </w:t>
            </w:r>
            <w:r>
              <w:rPr>
                <w:b/>
                <w:spacing w:val="-2"/>
                <w:sz w:val="21"/>
              </w:rPr>
              <w:t>dlhu:</w:t>
            </w:r>
          </w:p>
        </w:tc>
        <w:tc>
          <w:tcPr>
            <w:tcW w:w="1565" w:type="dxa"/>
            <w:vAlign w:val="center"/>
          </w:tcPr>
          <w:p w14:paraId="0CAFF1D3" w14:textId="0BFECB75" w:rsidR="00A503D7" w:rsidRDefault="00A503D7" w:rsidP="00A503D7">
            <w:pPr>
              <w:pStyle w:val="TableParagraph"/>
              <w:spacing w:before="39"/>
              <w:ind w:right="60"/>
              <w:jc w:val="right"/>
              <w:rPr>
                <w:b/>
                <w:sz w:val="21"/>
              </w:rPr>
            </w:pPr>
            <w:r>
              <w:rPr>
                <w:b/>
                <w:sz w:val="21"/>
              </w:rPr>
              <w:t>2 782 280,56</w:t>
            </w:r>
          </w:p>
        </w:tc>
        <w:tc>
          <w:tcPr>
            <w:tcW w:w="986" w:type="dxa"/>
            <w:vAlign w:val="center"/>
          </w:tcPr>
          <w:p w14:paraId="54DCED5D" w14:textId="77777777" w:rsidR="00A503D7" w:rsidRDefault="00A503D7" w:rsidP="00A503D7">
            <w:pPr>
              <w:pStyle w:val="TableParagraph"/>
            </w:pPr>
          </w:p>
        </w:tc>
      </w:tr>
      <w:tr w:rsidR="00A503D7" w14:paraId="6C84947E" w14:textId="77777777" w:rsidTr="007C2D9B">
        <w:trPr>
          <w:trHeight w:val="481"/>
        </w:trPr>
        <w:tc>
          <w:tcPr>
            <w:tcW w:w="1560" w:type="dxa"/>
            <w:vAlign w:val="center"/>
          </w:tcPr>
          <w:p w14:paraId="048DA83F" w14:textId="038B3545" w:rsidR="00A503D7" w:rsidRDefault="00A503D7" w:rsidP="00A503D7">
            <w:pPr>
              <w:pStyle w:val="TableParagraph"/>
              <w:spacing w:line="229" w:lineRule="exact"/>
              <w:ind w:left="69"/>
              <w:rPr>
                <w:sz w:val="20"/>
              </w:rPr>
            </w:pPr>
            <w:r>
              <w:rPr>
                <w:sz w:val="20"/>
              </w:rPr>
              <w:t>ČSOB</w:t>
            </w:r>
          </w:p>
        </w:tc>
        <w:tc>
          <w:tcPr>
            <w:tcW w:w="2127" w:type="dxa"/>
            <w:vAlign w:val="center"/>
          </w:tcPr>
          <w:p w14:paraId="497C2E50" w14:textId="53BE511D" w:rsidR="00A503D7" w:rsidRDefault="009B62C9" w:rsidP="00A503D7">
            <w:pPr>
              <w:pStyle w:val="TableParagraph"/>
              <w:spacing w:before="194"/>
              <w:rPr>
                <w:sz w:val="20"/>
              </w:rPr>
            </w:pPr>
            <w:r>
              <w:rPr>
                <w:sz w:val="20"/>
              </w:rPr>
              <w:t xml:space="preserve">  </w:t>
            </w:r>
            <w:r w:rsidR="00A503D7">
              <w:rPr>
                <w:sz w:val="20"/>
              </w:rPr>
              <w:t>Futbalový štadión</w:t>
            </w:r>
          </w:p>
        </w:tc>
        <w:tc>
          <w:tcPr>
            <w:tcW w:w="944" w:type="dxa"/>
            <w:vAlign w:val="center"/>
          </w:tcPr>
          <w:p w14:paraId="3C099117" w14:textId="0ABB2EAE" w:rsidR="00A503D7" w:rsidRDefault="006E2801" w:rsidP="00A503D7">
            <w:pPr>
              <w:pStyle w:val="TableParagraph"/>
              <w:spacing w:before="187"/>
              <w:ind w:right="221"/>
              <w:jc w:val="right"/>
              <w:rPr>
                <w:sz w:val="21"/>
              </w:rPr>
            </w:pPr>
            <w:r>
              <w:rPr>
                <w:sz w:val="21"/>
              </w:rPr>
              <w:t>2011</w:t>
            </w:r>
          </w:p>
        </w:tc>
        <w:tc>
          <w:tcPr>
            <w:tcW w:w="1304" w:type="dxa"/>
            <w:vAlign w:val="center"/>
          </w:tcPr>
          <w:p w14:paraId="560FE856" w14:textId="76DD0B80" w:rsidR="00A503D7" w:rsidRDefault="00A503D7" w:rsidP="00A503D7">
            <w:pPr>
              <w:pStyle w:val="TableParagraph"/>
              <w:spacing w:before="187"/>
              <w:ind w:right="56"/>
              <w:jc w:val="right"/>
              <w:rPr>
                <w:sz w:val="21"/>
              </w:rPr>
            </w:pPr>
            <w:r>
              <w:rPr>
                <w:sz w:val="21"/>
              </w:rPr>
              <w:t>1 499 962,26</w:t>
            </w:r>
          </w:p>
        </w:tc>
        <w:tc>
          <w:tcPr>
            <w:tcW w:w="1300" w:type="dxa"/>
            <w:vAlign w:val="center"/>
          </w:tcPr>
          <w:p w14:paraId="3B5101EF" w14:textId="190F375F" w:rsidR="00A503D7" w:rsidRDefault="00A503D7" w:rsidP="00A503D7">
            <w:pPr>
              <w:pStyle w:val="TableParagraph"/>
              <w:spacing w:before="187"/>
              <w:ind w:right="58"/>
              <w:jc w:val="right"/>
              <w:rPr>
                <w:sz w:val="21"/>
              </w:rPr>
            </w:pPr>
            <w:r>
              <w:rPr>
                <w:sz w:val="21"/>
              </w:rPr>
              <w:t>585 620,26</w:t>
            </w:r>
          </w:p>
        </w:tc>
        <w:tc>
          <w:tcPr>
            <w:tcW w:w="1565" w:type="dxa"/>
            <w:vAlign w:val="center"/>
          </w:tcPr>
          <w:p w14:paraId="2DC40DBC" w14:textId="77CBF360" w:rsidR="00A503D7" w:rsidRDefault="00A503D7" w:rsidP="00A503D7">
            <w:pPr>
              <w:pStyle w:val="TableParagraph"/>
              <w:spacing w:before="187"/>
              <w:ind w:right="60"/>
              <w:jc w:val="right"/>
              <w:rPr>
                <w:sz w:val="21"/>
              </w:rPr>
            </w:pPr>
            <w:r>
              <w:rPr>
                <w:sz w:val="21"/>
              </w:rPr>
              <w:t>546 152,26</w:t>
            </w:r>
          </w:p>
        </w:tc>
        <w:tc>
          <w:tcPr>
            <w:tcW w:w="986" w:type="dxa"/>
            <w:vAlign w:val="center"/>
          </w:tcPr>
          <w:p w14:paraId="554FABF4" w14:textId="6644AF18" w:rsidR="00A503D7" w:rsidRDefault="00A503D7" w:rsidP="00A503D7">
            <w:pPr>
              <w:pStyle w:val="TableParagraph"/>
              <w:spacing w:before="187"/>
              <w:ind w:left="257" w:right="255"/>
              <w:jc w:val="center"/>
              <w:rPr>
                <w:sz w:val="21"/>
              </w:rPr>
            </w:pPr>
            <w:r>
              <w:rPr>
                <w:spacing w:val="-4"/>
                <w:sz w:val="21"/>
              </w:rPr>
              <w:t>2031</w:t>
            </w:r>
          </w:p>
        </w:tc>
      </w:tr>
      <w:tr w:rsidR="00A503D7" w14:paraId="75D046DA" w14:textId="77777777" w:rsidTr="007C2D9B">
        <w:trPr>
          <w:trHeight w:val="481"/>
        </w:trPr>
        <w:tc>
          <w:tcPr>
            <w:tcW w:w="1560" w:type="dxa"/>
            <w:vAlign w:val="center"/>
          </w:tcPr>
          <w:p w14:paraId="2DE6C729" w14:textId="73FE2A6B" w:rsidR="00A503D7" w:rsidRDefault="00A503D7" w:rsidP="00A503D7">
            <w:pPr>
              <w:pStyle w:val="TableParagraph"/>
              <w:spacing w:line="229" w:lineRule="exact"/>
              <w:ind w:left="69"/>
              <w:rPr>
                <w:sz w:val="20"/>
              </w:rPr>
            </w:pPr>
            <w:r>
              <w:rPr>
                <w:sz w:val="20"/>
              </w:rPr>
              <w:t>ČSOB</w:t>
            </w:r>
          </w:p>
        </w:tc>
        <w:tc>
          <w:tcPr>
            <w:tcW w:w="2127" w:type="dxa"/>
            <w:vAlign w:val="center"/>
          </w:tcPr>
          <w:p w14:paraId="09733FB2" w14:textId="324B31A8" w:rsidR="00A503D7" w:rsidRDefault="009B62C9" w:rsidP="00A503D7">
            <w:pPr>
              <w:pStyle w:val="TableParagraph"/>
              <w:spacing w:before="194"/>
              <w:rPr>
                <w:sz w:val="20"/>
              </w:rPr>
            </w:pPr>
            <w:r>
              <w:rPr>
                <w:sz w:val="20"/>
              </w:rPr>
              <w:t xml:space="preserve">  </w:t>
            </w:r>
            <w:r w:rsidR="00A503D7">
              <w:rPr>
                <w:sz w:val="20"/>
              </w:rPr>
              <w:t>Projekty EÚ</w:t>
            </w:r>
          </w:p>
        </w:tc>
        <w:tc>
          <w:tcPr>
            <w:tcW w:w="944" w:type="dxa"/>
            <w:vAlign w:val="center"/>
          </w:tcPr>
          <w:p w14:paraId="255F544D" w14:textId="5DD3D733" w:rsidR="00A503D7" w:rsidRDefault="000A050A" w:rsidP="00A503D7">
            <w:pPr>
              <w:pStyle w:val="TableParagraph"/>
              <w:spacing w:before="187"/>
              <w:ind w:right="221"/>
              <w:jc w:val="right"/>
              <w:rPr>
                <w:sz w:val="21"/>
              </w:rPr>
            </w:pPr>
            <w:r>
              <w:rPr>
                <w:sz w:val="21"/>
              </w:rPr>
              <w:t>2015</w:t>
            </w:r>
          </w:p>
        </w:tc>
        <w:tc>
          <w:tcPr>
            <w:tcW w:w="1304" w:type="dxa"/>
            <w:vAlign w:val="center"/>
          </w:tcPr>
          <w:p w14:paraId="5531D022" w14:textId="5265FF82" w:rsidR="00A503D7" w:rsidRDefault="00A503D7" w:rsidP="00A503D7">
            <w:pPr>
              <w:pStyle w:val="TableParagraph"/>
              <w:spacing w:before="187"/>
              <w:ind w:right="56"/>
              <w:jc w:val="right"/>
              <w:rPr>
                <w:sz w:val="21"/>
              </w:rPr>
            </w:pPr>
            <w:r>
              <w:rPr>
                <w:sz w:val="21"/>
              </w:rPr>
              <w:t>1 186 277,71</w:t>
            </w:r>
          </w:p>
        </w:tc>
        <w:tc>
          <w:tcPr>
            <w:tcW w:w="1300" w:type="dxa"/>
            <w:vAlign w:val="center"/>
          </w:tcPr>
          <w:p w14:paraId="730A9119" w14:textId="2E07F2F9" w:rsidR="00A503D7" w:rsidRDefault="00A503D7" w:rsidP="00A503D7">
            <w:pPr>
              <w:pStyle w:val="TableParagraph"/>
              <w:spacing w:before="187"/>
              <w:ind w:right="58"/>
              <w:jc w:val="right"/>
              <w:rPr>
                <w:sz w:val="21"/>
              </w:rPr>
            </w:pPr>
            <w:r>
              <w:rPr>
                <w:sz w:val="21"/>
              </w:rPr>
              <w:t>344 222,71</w:t>
            </w:r>
          </w:p>
        </w:tc>
        <w:tc>
          <w:tcPr>
            <w:tcW w:w="1565" w:type="dxa"/>
            <w:vAlign w:val="center"/>
          </w:tcPr>
          <w:p w14:paraId="776D69BC" w14:textId="0200FEA5" w:rsidR="00A503D7" w:rsidRDefault="00A503D7" w:rsidP="00A503D7">
            <w:pPr>
              <w:pStyle w:val="TableParagraph"/>
              <w:spacing w:before="187"/>
              <w:ind w:right="60"/>
              <w:jc w:val="right"/>
              <w:rPr>
                <w:sz w:val="21"/>
              </w:rPr>
            </w:pPr>
            <w:r>
              <w:rPr>
                <w:sz w:val="21"/>
              </w:rPr>
              <w:t>304 676,71</w:t>
            </w:r>
          </w:p>
        </w:tc>
        <w:tc>
          <w:tcPr>
            <w:tcW w:w="986" w:type="dxa"/>
            <w:vAlign w:val="center"/>
          </w:tcPr>
          <w:p w14:paraId="3B7E42AA" w14:textId="7B35BEA7" w:rsidR="00A503D7" w:rsidRDefault="00A503D7" w:rsidP="00A503D7">
            <w:pPr>
              <w:pStyle w:val="TableParagraph"/>
              <w:spacing w:before="187"/>
              <w:ind w:left="257" w:right="255"/>
              <w:jc w:val="center"/>
              <w:rPr>
                <w:sz w:val="21"/>
              </w:rPr>
            </w:pPr>
            <w:r>
              <w:rPr>
                <w:sz w:val="21"/>
              </w:rPr>
              <w:t>2028</w:t>
            </w:r>
          </w:p>
        </w:tc>
      </w:tr>
      <w:tr w:rsidR="00A503D7" w14:paraId="3EBD741B" w14:textId="77777777" w:rsidTr="007C2D9B">
        <w:trPr>
          <w:trHeight w:val="481"/>
        </w:trPr>
        <w:tc>
          <w:tcPr>
            <w:tcW w:w="1560" w:type="dxa"/>
            <w:vAlign w:val="center"/>
          </w:tcPr>
          <w:p w14:paraId="12860F0A" w14:textId="57E00E25" w:rsidR="00A503D7" w:rsidRDefault="00A503D7" w:rsidP="00A503D7">
            <w:pPr>
              <w:pStyle w:val="TableParagraph"/>
              <w:spacing w:line="229" w:lineRule="exact"/>
              <w:ind w:left="69"/>
              <w:rPr>
                <w:sz w:val="20"/>
              </w:rPr>
            </w:pPr>
            <w:r>
              <w:rPr>
                <w:sz w:val="20"/>
              </w:rPr>
              <w:t>SLSP</w:t>
            </w:r>
          </w:p>
        </w:tc>
        <w:tc>
          <w:tcPr>
            <w:tcW w:w="2127" w:type="dxa"/>
            <w:vAlign w:val="center"/>
          </w:tcPr>
          <w:p w14:paraId="3BFBBEE9" w14:textId="294D23E3" w:rsidR="00A503D7" w:rsidRDefault="009B62C9" w:rsidP="00A503D7">
            <w:pPr>
              <w:pStyle w:val="TableParagraph"/>
              <w:spacing w:before="194"/>
              <w:rPr>
                <w:sz w:val="20"/>
              </w:rPr>
            </w:pPr>
            <w:r>
              <w:rPr>
                <w:sz w:val="20"/>
              </w:rPr>
              <w:t xml:space="preserve">  </w:t>
            </w:r>
            <w:r w:rsidR="00A503D7">
              <w:rPr>
                <w:sz w:val="20"/>
              </w:rPr>
              <w:t>Investície mesta</w:t>
            </w:r>
          </w:p>
        </w:tc>
        <w:tc>
          <w:tcPr>
            <w:tcW w:w="944" w:type="dxa"/>
            <w:vAlign w:val="center"/>
          </w:tcPr>
          <w:p w14:paraId="43D7C709" w14:textId="44DECAC0" w:rsidR="00A503D7" w:rsidRDefault="000A050A" w:rsidP="00A503D7">
            <w:pPr>
              <w:pStyle w:val="TableParagraph"/>
              <w:spacing w:before="187"/>
              <w:ind w:right="221"/>
              <w:jc w:val="right"/>
              <w:rPr>
                <w:sz w:val="21"/>
              </w:rPr>
            </w:pPr>
            <w:r>
              <w:rPr>
                <w:sz w:val="21"/>
              </w:rPr>
              <w:t>2020</w:t>
            </w:r>
          </w:p>
        </w:tc>
        <w:tc>
          <w:tcPr>
            <w:tcW w:w="1304" w:type="dxa"/>
            <w:vAlign w:val="center"/>
          </w:tcPr>
          <w:p w14:paraId="47FB8EAB" w14:textId="09C2AB47" w:rsidR="00A503D7" w:rsidRDefault="00A503D7" w:rsidP="00A503D7">
            <w:pPr>
              <w:pStyle w:val="TableParagraph"/>
              <w:spacing w:before="187"/>
              <w:ind w:right="56"/>
              <w:jc w:val="right"/>
              <w:rPr>
                <w:sz w:val="21"/>
              </w:rPr>
            </w:pPr>
            <w:r>
              <w:rPr>
                <w:sz w:val="21"/>
              </w:rPr>
              <w:t xml:space="preserve">1 000 000,00  </w:t>
            </w:r>
          </w:p>
        </w:tc>
        <w:tc>
          <w:tcPr>
            <w:tcW w:w="1300" w:type="dxa"/>
            <w:vAlign w:val="center"/>
          </w:tcPr>
          <w:p w14:paraId="189D0D44" w14:textId="0C316DBB" w:rsidR="00A503D7" w:rsidRDefault="00A503D7" w:rsidP="00A503D7">
            <w:pPr>
              <w:pStyle w:val="TableParagraph"/>
              <w:spacing w:before="187"/>
              <w:ind w:right="58"/>
              <w:jc w:val="right"/>
              <w:rPr>
                <w:sz w:val="21"/>
              </w:rPr>
            </w:pPr>
            <w:r>
              <w:rPr>
                <w:sz w:val="21"/>
              </w:rPr>
              <w:t>600 019,00</w:t>
            </w:r>
          </w:p>
        </w:tc>
        <w:tc>
          <w:tcPr>
            <w:tcW w:w="1565" w:type="dxa"/>
            <w:vAlign w:val="center"/>
          </w:tcPr>
          <w:p w14:paraId="5C12A6B2" w14:textId="5F4B557B" w:rsidR="00A503D7" w:rsidRDefault="00A503D7" w:rsidP="00A503D7">
            <w:pPr>
              <w:pStyle w:val="TableParagraph"/>
              <w:spacing w:before="187"/>
              <w:ind w:right="60"/>
              <w:jc w:val="right"/>
              <w:rPr>
                <w:sz w:val="21"/>
              </w:rPr>
            </w:pPr>
            <w:r>
              <w:rPr>
                <w:sz w:val="21"/>
              </w:rPr>
              <w:t>549 964,00</w:t>
            </w:r>
          </w:p>
        </w:tc>
        <w:tc>
          <w:tcPr>
            <w:tcW w:w="986" w:type="dxa"/>
            <w:vAlign w:val="center"/>
          </w:tcPr>
          <w:p w14:paraId="5291CEF5" w14:textId="681B3283" w:rsidR="00A503D7" w:rsidRDefault="00A503D7" w:rsidP="00A503D7">
            <w:pPr>
              <w:pStyle w:val="TableParagraph"/>
              <w:spacing w:before="187"/>
              <w:ind w:left="257" w:right="255"/>
              <w:jc w:val="center"/>
              <w:rPr>
                <w:sz w:val="21"/>
              </w:rPr>
            </w:pPr>
            <w:r>
              <w:rPr>
                <w:sz w:val="21"/>
              </w:rPr>
              <w:t>2029</w:t>
            </w:r>
          </w:p>
        </w:tc>
      </w:tr>
      <w:tr w:rsidR="00A503D7" w:rsidRPr="001966EA" w14:paraId="0B39D4EF" w14:textId="77777777" w:rsidTr="007C2D9B">
        <w:trPr>
          <w:trHeight w:val="484"/>
        </w:trPr>
        <w:tc>
          <w:tcPr>
            <w:tcW w:w="7235" w:type="dxa"/>
            <w:gridSpan w:val="5"/>
            <w:shd w:val="clear" w:color="auto" w:fill="FFFFFF" w:themeFill="background1"/>
            <w:vAlign w:val="center"/>
          </w:tcPr>
          <w:p w14:paraId="2F55E2F3" w14:textId="36973671" w:rsidR="00A503D7" w:rsidRPr="007C2D9B" w:rsidRDefault="007C2D9B" w:rsidP="00A503D7">
            <w:pPr>
              <w:rPr>
                <w:b/>
              </w:rPr>
            </w:pPr>
            <w:r w:rsidRPr="007C2D9B">
              <w:rPr>
                <w:b/>
              </w:rPr>
              <w:t xml:space="preserve">   Zostatok úveru (istiny) mesta k 30. 6. 2024</w:t>
            </w:r>
          </w:p>
        </w:tc>
        <w:tc>
          <w:tcPr>
            <w:tcW w:w="1565" w:type="dxa"/>
            <w:shd w:val="clear" w:color="auto" w:fill="FFFFFF" w:themeFill="background1"/>
            <w:vAlign w:val="center"/>
          </w:tcPr>
          <w:p w14:paraId="0CF06084" w14:textId="213884D9" w:rsidR="00A503D7" w:rsidRPr="007C2D9B" w:rsidRDefault="007C2D9B" w:rsidP="00A503D7">
            <w:pPr>
              <w:rPr>
                <w:b/>
              </w:rPr>
            </w:pPr>
            <w:r w:rsidRPr="007C2D9B">
              <w:rPr>
                <w:b/>
              </w:rPr>
              <w:t xml:space="preserve">       1 400 792,97</w:t>
            </w:r>
          </w:p>
        </w:tc>
        <w:tc>
          <w:tcPr>
            <w:tcW w:w="986" w:type="dxa"/>
            <w:shd w:val="clear" w:color="auto" w:fill="FFFFFF" w:themeFill="background1"/>
            <w:vAlign w:val="center"/>
          </w:tcPr>
          <w:p w14:paraId="7CB3726E" w14:textId="595476B2" w:rsidR="00A503D7" w:rsidRPr="007C2D9B" w:rsidRDefault="00A503D7" w:rsidP="00A503D7">
            <w:pPr>
              <w:rPr>
                <w:b/>
              </w:rPr>
            </w:pPr>
          </w:p>
        </w:tc>
      </w:tr>
      <w:tr w:rsidR="007C2D9B" w:rsidRPr="001966EA" w14:paraId="30564044" w14:textId="77777777" w:rsidTr="007C2D9B">
        <w:trPr>
          <w:trHeight w:val="484"/>
        </w:trPr>
        <w:tc>
          <w:tcPr>
            <w:tcW w:w="7235" w:type="dxa"/>
            <w:gridSpan w:val="5"/>
            <w:shd w:val="clear" w:color="auto" w:fill="FFFFFF" w:themeFill="background1"/>
            <w:vAlign w:val="center"/>
          </w:tcPr>
          <w:p w14:paraId="1033D44A" w14:textId="21A510CE" w:rsidR="007C2D9B" w:rsidRDefault="007C2D9B" w:rsidP="007C2D9B">
            <w:r>
              <w:t xml:space="preserve">   </w:t>
            </w:r>
            <w:r w:rsidRPr="001966EA">
              <w:t>Výška NZF, ktorý chce mesto prijať</w:t>
            </w:r>
          </w:p>
        </w:tc>
        <w:tc>
          <w:tcPr>
            <w:tcW w:w="1565" w:type="dxa"/>
            <w:shd w:val="clear" w:color="auto" w:fill="FFFFFF" w:themeFill="background1"/>
            <w:vAlign w:val="center"/>
          </w:tcPr>
          <w:p w14:paraId="2F63D04F" w14:textId="5482800F" w:rsidR="007C2D9B" w:rsidRDefault="007C2D9B" w:rsidP="007C2D9B">
            <w:r>
              <w:t xml:space="preserve">       </w:t>
            </w:r>
            <w:r w:rsidRPr="001966EA">
              <w:t>1</w:t>
            </w:r>
            <w:r>
              <w:t> 5</w:t>
            </w:r>
            <w:r w:rsidRPr="001966EA">
              <w:t>00</w:t>
            </w:r>
            <w:r>
              <w:t xml:space="preserve"> </w:t>
            </w:r>
            <w:r w:rsidRPr="001966EA">
              <w:t>000,</w:t>
            </w:r>
            <w:r>
              <w:t>00</w:t>
            </w:r>
          </w:p>
        </w:tc>
        <w:tc>
          <w:tcPr>
            <w:tcW w:w="986" w:type="dxa"/>
            <w:shd w:val="clear" w:color="auto" w:fill="FFFFFF" w:themeFill="background1"/>
            <w:vAlign w:val="center"/>
          </w:tcPr>
          <w:p w14:paraId="233B2DBC" w14:textId="2D779565" w:rsidR="007C2D9B" w:rsidRDefault="007C2D9B" w:rsidP="007C2D9B">
            <w:r>
              <w:t xml:space="preserve">     </w:t>
            </w:r>
            <w:r w:rsidRPr="001966EA">
              <w:t>203</w:t>
            </w:r>
            <w:r>
              <w:t>4</w:t>
            </w:r>
          </w:p>
        </w:tc>
      </w:tr>
      <w:tr w:rsidR="007C2D9B" w:rsidRPr="001966EA" w14:paraId="6F3EEE51" w14:textId="77777777" w:rsidTr="007C2D9B">
        <w:trPr>
          <w:trHeight w:val="592"/>
        </w:trPr>
        <w:tc>
          <w:tcPr>
            <w:tcW w:w="7235" w:type="dxa"/>
            <w:gridSpan w:val="5"/>
            <w:vAlign w:val="center"/>
          </w:tcPr>
          <w:p w14:paraId="44AA88C0" w14:textId="6C9FE17F" w:rsidR="007C2D9B" w:rsidRPr="007C2D9B" w:rsidRDefault="007C2D9B" w:rsidP="007C2D9B">
            <w:pPr>
              <w:rPr>
                <w:b/>
              </w:rPr>
            </w:pPr>
            <w:r w:rsidRPr="007C2D9B">
              <w:rPr>
                <w:b/>
              </w:rPr>
              <w:t xml:space="preserve">   SPOLU upravená celková suma predpokladaného dlhu:</w:t>
            </w:r>
          </w:p>
        </w:tc>
        <w:tc>
          <w:tcPr>
            <w:tcW w:w="1565" w:type="dxa"/>
            <w:vAlign w:val="center"/>
          </w:tcPr>
          <w:p w14:paraId="5D4D02DE" w14:textId="6CF082CF" w:rsidR="007C2D9B" w:rsidRPr="007C2D9B" w:rsidRDefault="007C2D9B" w:rsidP="007C2D9B">
            <w:pPr>
              <w:rPr>
                <w:b/>
              </w:rPr>
            </w:pPr>
            <w:r w:rsidRPr="007C2D9B">
              <w:rPr>
                <w:b/>
              </w:rPr>
              <w:t xml:space="preserve">       2 900 792,97 </w:t>
            </w:r>
          </w:p>
        </w:tc>
        <w:tc>
          <w:tcPr>
            <w:tcW w:w="986" w:type="dxa"/>
            <w:vAlign w:val="center"/>
          </w:tcPr>
          <w:p w14:paraId="6E73E5AC" w14:textId="77777777" w:rsidR="007C2D9B" w:rsidRPr="007C2D9B" w:rsidRDefault="007C2D9B" w:rsidP="007C2D9B">
            <w:pPr>
              <w:rPr>
                <w:b/>
              </w:rPr>
            </w:pPr>
          </w:p>
        </w:tc>
      </w:tr>
    </w:tbl>
    <w:p w14:paraId="5C499CEC" w14:textId="77777777" w:rsidR="003D1EEC" w:rsidRDefault="003D1EEC" w:rsidP="003D1EEC">
      <w:pPr>
        <w:sectPr w:rsidR="003D1EEC">
          <w:footerReference w:type="default" r:id="rId7"/>
          <w:pgSz w:w="11920" w:h="16850"/>
          <w:pgMar w:top="1360" w:right="460" w:bottom="800" w:left="1180" w:header="331" w:footer="602" w:gutter="0"/>
          <w:cols w:space="708"/>
        </w:sectPr>
      </w:pPr>
    </w:p>
    <w:p w14:paraId="4E2330ED" w14:textId="7A00CA8A" w:rsidR="0042062D" w:rsidRDefault="0042062D" w:rsidP="0042062D">
      <w:pPr>
        <w:pStyle w:val="Nadpis2"/>
        <w:tabs>
          <w:tab w:val="left" w:pos="362"/>
        </w:tabs>
        <w:spacing w:before="60" w:line="274" w:lineRule="exact"/>
        <w:rPr>
          <w:b w:val="0"/>
        </w:rPr>
      </w:pPr>
      <w:r>
        <w:rPr>
          <w:b w:val="0"/>
        </w:rPr>
        <w:lastRenderedPageBreak/>
        <w:t>Úvery mesta prijaté na výstavbu nájomných bytov zo ŠFRB:</w:t>
      </w:r>
    </w:p>
    <w:p w14:paraId="7F7BB2B0" w14:textId="3718DB6D" w:rsidR="0042062D" w:rsidRPr="0042062D" w:rsidRDefault="0042062D" w:rsidP="0042062D">
      <w:pPr>
        <w:pStyle w:val="Nadpis2"/>
        <w:tabs>
          <w:tab w:val="left" w:pos="362"/>
        </w:tabs>
        <w:spacing w:before="60" w:line="274" w:lineRule="exact"/>
        <w:rPr>
          <w:b w:val="0"/>
        </w:rPr>
      </w:pPr>
      <w:r>
        <w:rPr>
          <w:b w:val="0"/>
        </w:rPr>
        <w:t>ná</w:t>
      </w:r>
      <w:r w:rsidRPr="0042062D">
        <w:rPr>
          <w:b w:val="0"/>
        </w:rPr>
        <w:t>jomné byty 16 b. j. ul. Družstevná, prijatý úver 284 139,64 EUR v r. 2003</w:t>
      </w:r>
    </w:p>
    <w:p w14:paraId="4782FD07" w14:textId="21851B15" w:rsidR="0042062D" w:rsidRPr="0042062D" w:rsidRDefault="0042062D" w:rsidP="0042062D">
      <w:pPr>
        <w:pStyle w:val="Nadpis2"/>
        <w:tabs>
          <w:tab w:val="left" w:pos="362"/>
        </w:tabs>
        <w:spacing w:before="60" w:line="274" w:lineRule="exact"/>
        <w:rPr>
          <w:b w:val="0"/>
        </w:rPr>
      </w:pPr>
      <w:r w:rsidRPr="0042062D">
        <w:rPr>
          <w:b w:val="0"/>
        </w:rPr>
        <w:t xml:space="preserve"> zostatok nesplateného úveru ........................................................................ </w:t>
      </w:r>
      <w:r w:rsidR="003335AC">
        <w:rPr>
          <w:b w:val="0"/>
        </w:rPr>
        <w:t>127 181,87</w:t>
      </w:r>
      <w:r w:rsidRPr="0042062D">
        <w:rPr>
          <w:b w:val="0"/>
        </w:rPr>
        <w:t xml:space="preserve"> </w:t>
      </w:r>
      <w:r w:rsidR="003335AC">
        <w:rPr>
          <w:b w:val="0"/>
        </w:rPr>
        <w:t>eur</w:t>
      </w:r>
    </w:p>
    <w:p w14:paraId="0731CF63" w14:textId="77777777" w:rsidR="0042062D" w:rsidRPr="0042062D" w:rsidRDefault="0042062D" w:rsidP="0042062D">
      <w:pPr>
        <w:pStyle w:val="Nadpis2"/>
        <w:tabs>
          <w:tab w:val="left" w:pos="362"/>
        </w:tabs>
        <w:spacing w:before="60" w:line="274" w:lineRule="exact"/>
        <w:rPr>
          <w:b w:val="0"/>
        </w:rPr>
      </w:pPr>
      <w:r w:rsidRPr="0042062D">
        <w:rPr>
          <w:b w:val="0"/>
        </w:rPr>
        <w:t>2. nájomné byty 20 b. j. ul. Petzvalova, prijatý úver 322 379,34 EUR v r. 2002</w:t>
      </w:r>
    </w:p>
    <w:p w14:paraId="1CEDB447" w14:textId="27BB90E8" w:rsidR="0042062D" w:rsidRPr="0042062D" w:rsidRDefault="0042062D" w:rsidP="0042062D">
      <w:pPr>
        <w:pStyle w:val="Nadpis2"/>
        <w:tabs>
          <w:tab w:val="left" w:pos="362"/>
        </w:tabs>
        <w:spacing w:before="60" w:line="274" w:lineRule="exact"/>
        <w:rPr>
          <w:b w:val="0"/>
        </w:rPr>
      </w:pPr>
      <w:r w:rsidRPr="0042062D">
        <w:rPr>
          <w:b w:val="0"/>
        </w:rPr>
        <w:t xml:space="preserve"> zostatok nesplateného úveru ......................................................................</w:t>
      </w:r>
      <w:r w:rsidR="003335AC">
        <w:rPr>
          <w:b w:val="0"/>
        </w:rPr>
        <w:t xml:space="preserve">   144 291,96 eur</w:t>
      </w:r>
    </w:p>
    <w:p w14:paraId="6629BAD1" w14:textId="77777777" w:rsidR="0042062D" w:rsidRPr="0042062D" w:rsidRDefault="0042062D" w:rsidP="0042062D">
      <w:pPr>
        <w:pStyle w:val="Nadpis2"/>
        <w:tabs>
          <w:tab w:val="left" w:pos="362"/>
        </w:tabs>
        <w:spacing w:before="60" w:line="274" w:lineRule="exact"/>
        <w:rPr>
          <w:b w:val="0"/>
        </w:rPr>
      </w:pPr>
      <w:r w:rsidRPr="0042062D">
        <w:rPr>
          <w:b w:val="0"/>
        </w:rPr>
        <w:t>3. nájomné byty ul. 1. mája, prijatý úver 1 239 626,90 EUR v r. 2005</w:t>
      </w:r>
    </w:p>
    <w:p w14:paraId="69F0D883" w14:textId="4717AAAA" w:rsidR="0042062D" w:rsidRPr="0042062D" w:rsidRDefault="0042062D" w:rsidP="0042062D">
      <w:pPr>
        <w:pStyle w:val="Nadpis2"/>
        <w:tabs>
          <w:tab w:val="left" w:pos="362"/>
        </w:tabs>
        <w:spacing w:before="60" w:line="274" w:lineRule="exact"/>
        <w:rPr>
          <w:b w:val="0"/>
        </w:rPr>
      </w:pPr>
      <w:r w:rsidRPr="0042062D">
        <w:rPr>
          <w:b w:val="0"/>
        </w:rPr>
        <w:t xml:space="preserve"> zostatok nesplateného úveru ...................................................................... </w:t>
      </w:r>
      <w:r w:rsidR="003335AC">
        <w:rPr>
          <w:b w:val="0"/>
        </w:rPr>
        <w:t xml:space="preserve">  503 611,79 eur</w:t>
      </w:r>
    </w:p>
    <w:p w14:paraId="57AF0BB4" w14:textId="77777777" w:rsidR="0042062D" w:rsidRPr="0042062D" w:rsidRDefault="0042062D" w:rsidP="0042062D">
      <w:pPr>
        <w:pStyle w:val="Nadpis2"/>
        <w:tabs>
          <w:tab w:val="left" w:pos="362"/>
        </w:tabs>
        <w:spacing w:before="60" w:line="274" w:lineRule="exact"/>
        <w:rPr>
          <w:b w:val="0"/>
        </w:rPr>
      </w:pPr>
      <w:r w:rsidRPr="0042062D">
        <w:rPr>
          <w:b w:val="0"/>
        </w:rPr>
        <w:t>4. nájomné byty ul. Štefánikova 42, prijatý úver 586 794,05 EUR v r. 2010</w:t>
      </w:r>
    </w:p>
    <w:p w14:paraId="7160EABA" w14:textId="0FC2E59B" w:rsidR="0042062D" w:rsidRPr="0042062D" w:rsidRDefault="0042062D" w:rsidP="0042062D">
      <w:pPr>
        <w:pStyle w:val="Nadpis2"/>
        <w:tabs>
          <w:tab w:val="left" w:pos="362"/>
        </w:tabs>
        <w:spacing w:before="60" w:line="274" w:lineRule="exact"/>
        <w:rPr>
          <w:b w:val="0"/>
        </w:rPr>
      </w:pPr>
      <w:r w:rsidRPr="0042062D">
        <w:rPr>
          <w:b w:val="0"/>
        </w:rPr>
        <w:t xml:space="preserve"> zostatok nesplateného úveru ....................................................................... </w:t>
      </w:r>
      <w:r w:rsidR="003335AC">
        <w:rPr>
          <w:b w:val="0"/>
        </w:rPr>
        <w:t xml:space="preserve">  321 261,70 eur</w:t>
      </w:r>
    </w:p>
    <w:p w14:paraId="2E19E8D1" w14:textId="77777777" w:rsidR="0042062D" w:rsidRPr="0042062D" w:rsidRDefault="0042062D" w:rsidP="0042062D">
      <w:pPr>
        <w:pStyle w:val="Nadpis2"/>
        <w:tabs>
          <w:tab w:val="left" w:pos="362"/>
        </w:tabs>
        <w:spacing w:before="60" w:line="274" w:lineRule="exact"/>
        <w:rPr>
          <w:b w:val="0"/>
        </w:rPr>
      </w:pPr>
      <w:r w:rsidRPr="0042062D">
        <w:rPr>
          <w:b w:val="0"/>
        </w:rPr>
        <w:t>5. nájomné byty ul. Slnečná 72, prijatý úver 30 446,25 EUR v r. 2010</w:t>
      </w:r>
    </w:p>
    <w:p w14:paraId="33056E85" w14:textId="68872569" w:rsidR="0042062D" w:rsidRPr="0042062D" w:rsidRDefault="0042062D" w:rsidP="0042062D">
      <w:pPr>
        <w:pStyle w:val="Nadpis2"/>
        <w:tabs>
          <w:tab w:val="left" w:pos="362"/>
        </w:tabs>
        <w:spacing w:before="60" w:line="274" w:lineRule="exact"/>
        <w:rPr>
          <w:b w:val="0"/>
        </w:rPr>
      </w:pPr>
      <w:r w:rsidRPr="0042062D">
        <w:rPr>
          <w:b w:val="0"/>
        </w:rPr>
        <w:t xml:space="preserve"> zostatok nesplateného úveru ....................................................................... </w:t>
      </w:r>
      <w:r w:rsidR="003335AC">
        <w:rPr>
          <w:b w:val="0"/>
        </w:rPr>
        <w:t xml:space="preserve">    16 668,37 eur</w:t>
      </w:r>
    </w:p>
    <w:p w14:paraId="726DC0ED" w14:textId="77777777" w:rsidR="0042062D" w:rsidRPr="0042062D" w:rsidRDefault="0042062D" w:rsidP="0042062D">
      <w:pPr>
        <w:pStyle w:val="Nadpis2"/>
        <w:tabs>
          <w:tab w:val="left" w:pos="362"/>
        </w:tabs>
        <w:spacing w:before="60" w:line="274" w:lineRule="exact"/>
        <w:rPr>
          <w:b w:val="0"/>
        </w:rPr>
      </w:pPr>
      <w:r w:rsidRPr="0042062D">
        <w:rPr>
          <w:b w:val="0"/>
        </w:rPr>
        <w:t>6. nájomné byty 2x8 b. j. ul. Popradská, prijatý úver 363 266,85 EUR v r. 2011</w:t>
      </w:r>
    </w:p>
    <w:p w14:paraId="778F316A" w14:textId="08C68C6F" w:rsidR="0042062D" w:rsidRPr="0042062D" w:rsidRDefault="0042062D" w:rsidP="0042062D">
      <w:pPr>
        <w:pStyle w:val="Nadpis2"/>
        <w:tabs>
          <w:tab w:val="left" w:pos="362"/>
        </w:tabs>
        <w:spacing w:before="60" w:line="274" w:lineRule="exact"/>
        <w:rPr>
          <w:b w:val="0"/>
        </w:rPr>
      </w:pPr>
      <w:r w:rsidRPr="0042062D">
        <w:rPr>
          <w:b w:val="0"/>
        </w:rPr>
        <w:t xml:space="preserve"> zostatok nesplateného úveru ....................................................................... </w:t>
      </w:r>
      <w:r w:rsidR="003335AC">
        <w:rPr>
          <w:b w:val="0"/>
        </w:rPr>
        <w:t xml:space="preserve">  221 844,44</w:t>
      </w:r>
      <w:r w:rsidRPr="0042062D">
        <w:rPr>
          <w:b w:val="0"/>
        </w:rPr>
        <w:t xml:space="preserve"> </w:t>
      </w:r>
      <w:r w:rsidR="003335AC">
        <w:rPr>
          <w:b w:val="0"/>
        </w:rPr>
        <w:t>eur</w:t>
      </w:r>
    </w:p>
    <w:p w14:paraId="4B67B04F" w14:textId="77777777" w:rsidR="0042062D" w:rsidRPr="0042062D" w:rsidRDefault="0042062D" w:rsidP="0042062D">
      <w:pPr>
        <w:pStyle w:val="Nadpis2"/>
        <w:tabs>
          <w:tab w:val="left" w:pos="362"/>
        </w:tabs>
        <w:spacing w:before="60" w:line="274" w:lineRule="exact"/>
        <w:rPr>
          <w:b w:val="0"/>
        </w:rPr>
      </w:pPr>
      <w:r w:rsidRPr="0042062D">
        <w:rPr>
          <w:b w:val="0"/>
        </w:rPr>
        <w:t>7. nájomné byty 6 b. j. ul. Zimná 8, prijatý úver 168 151,76 EUR v r. 2011</w:t>
      </w:r>
    </w:p>
    <w:p w14:paraId="63E3A9D4" w14:textId="3104581A" w:rsidR="0042062D" w:rsidRPr="0042062D" w:rsidRDefault="0042062D" w:rsidP="0042062D">
      <w:pPr>
        <w:pStyle w:val="Nadpis2"/>
        <w:tabs>
          <w:tab w:val="left" w:pos="362"/>
        </w:tabs>
        <w:spacing w:before="60" w:line="274" w:lineRule="exact"/>
        <w:rPr>
          <w:b w:val="0"/>
        </w:rPr>
      </w:pPr>
      <w:r w:rsidRPr="0042062D">
        <w:rPr>
          <w:b w:val="0"/>
        </w:rPr>
        <w:t xml:space="preserve"> zostatok nesplateného úveru ...................................................................... </w:t>
      </w:r>
      <w:r w:rsidR="003335AC">
        <w:rPr>
          <w:b w:val="0"/>
        </w:rPr>
        <w:t xml:space="preserve">  102 689,48</w:t>
      </w:r>
      <w:r w:rsidRPr="0042062D">
        <w:rPr>
          <w:b w:val="0"/>
        </w:rPr>
        <w:t xml:space="preserve"> </w:t>
      </w:r>
      <w:r w:rsidR="003335AC">
        <w:rPr>
          <w:b w:val="0"/>
        </w:rPr>
        <w:t>eur</w:t>
      </w:r>
    </w:p>
    <w:p w14:paraId="2FF70FC5" w14:textId="77777777" w:rsidR="0042062D" w:rsidRPr="0042062D" w:rsidRDefault="0042062D" w:rsidP="0042062D">
      <w:pPr>
        <w:pStyle w:val="Nadpis2"/>
        <w:tabs>
          <w:tab w:val="left" w:pos="362"/>
        </w:tabs>
        <w:spacing w:before="60" w:line="274" w:lineRule="exact"/>
        <w:rPr>
          <w:b w:val="0"/>
        </w:rPr>
      </w:pPr>
      <w:r w:rsidRPr="0042062D">
        <w:rPr>
          <w:b w:val="0"/>
        </w:rPr>
        <w:t>8. nájomné byty 14. b. j. ul. Štefánikova 18, prijatý úver 419 870,00 EUR v r. 2015</w:t>
      </w:r>
    </w:p>
    <w:p w14:paraId="3424C5AB" w14:textId="156FB75C" w:rsidR="0042062D" w:rsidRPr="0042062D" w:rsidRDefault="0042062D" w:rsidP="0042062D">
      <w:pPr>
        <w:pStyle w:val="Nadpis2"/>
        <w:tabs>
          <w:tab w:val="left" w:pos="362"/>
        </w:tabs>
        <w:spacing w:before="60" w:line="274" w:lineRule="exact"/>
        <w:rPr>
          <w:b w:val="0"/>
        </w:rPr>
      </w:pPr>
      <w:r w:rsidRPr="0042062D">
        <w:rPr>
          <w:b w:val="0"/>
        </w:rPr>
        <w:t xml:space="preserve"> zostatok nesplateného úveru ....................................................................... </w:t>
      </w:r>
      <w:r w:rsidR="003335AC">
        <w:rPr>
          <w:b w:val="0"/>
        </w:rPr>
        <w:t xml:space="preserve"> 343 121,04</w:t>
      </w:r>
      <w:r w:rsidRPr="0042062D">
        <w:rPr>
          <w:b w:val="0"/>
        </w:rPr>
        <w:t xml:space="preserve"> </w:t>
      </w:r>
      <w:r w:rsidR="003335AC">
        <w:rPr>
          <w:b w:val="0"/>
        </w:rPr>
        <w:t>eur</w:t>
      </w:r>
    </w:p>
    <w:p w14:paraId="01C00771" w14:textId="77777777" w:rsidR="0042062D" w:rsidRPr="0042062D" w:rsidRDefault="0042062D" w:rsidP="0042062D">
      <w:pPr>
        <w:pStyle w:val="Nadpis2"/>
        <w:tabs>
          <w:tab w:val="left" w:pos="362"/>
        </w:tabs>
        <w:spacing w:before="60" w:line="274" w:lineRule="exact"/>
        <w:rPr>
          <w:b w:val="0"/>
        </w:rPr>
      </w:pPr>
      <w:r w:rsidRPr="0042062D">
        <w:rPr>
          <w:b w:val="0"/>
        </w:rPr>
        <w:t>9. nájomné byty 34 b.j. ul. Zimná 46, prijatý úver 1 218 060,00 v r. 2016</w:t>
      </w:r>
    </w:p>
    <w:p w14:paraId="6CC17C91" w14:textId="2924BAB2" w:rsidR="003335AC" w:rsidRDefault="0042062D" w:rsidP="003335AC">
      <w:pPr>
        <w:pStyle w:val="Nadpis2"/>
        <w:tabs>
          <w:tab w:val="left" w:pos="362"/>
        </w:tabs>
        <w:spacing w:before="60" w:line="274" w:lineRule="exact"/>
        <w:rPr>
          <w:b w:val="0"/>
        </w:rPr>
      </w:pPr>
      <w:r w:rsidRPr="0042062D">
        <w:rPr>
          <w:b w:val="0"/>
        </w:rPr>
        <w:t>zostatok nesplateného úveru ......................................................................</w:t>
      </w:r>
      <w:r w:rsidR="003335AC">
        <w:rPr>
          <w:b w:val="0"/>
        </w:rPr>
        <w:t xml:space="preserve">  </w:t>
      </w:r>
      <w:r w:rsidRPr="0042062D">
        <w:rPr>
          <w:b w:val="0"/>
        </w:rPr>
        <w:t>1 0</w:t>
      </w:r>
      <w:r w:rsidR="003335AC">
        <w:rPr>
          <w:b w:val="0"/>
        </w:rPr>
        <w:t>01 609,91</w:t>
      </w:r>
      <w:r w:rsidRPr="0042062D">
        <w:rPr>
          <w:b w:val="0"/>
        </w:rPr>
        <w:t xml:space="preserve"> </w:t>
      </w:r>
      <w:r w:rsidR="003335AC">
        <w:rPr>
          <w:b w:val="0"/>
        </w:rPr>
        <w:t>eur</w:t>
      </w:r>
      <w:r w:rsidRPr="0042062D">
        <w:rPr>
          <w:b w:val="0"/>
        </w:rPr>
        <w:t xml:space="preserve"> </w:t>
      </w:r>
    </w:p>
    <w:p w14:paraId="6A1BDDE9" w14:textId="096129FD" w:rsidR="0042062D" w:rsidRDefault="003335AC" w:rsidP="003335AC">
      <w:pPr>
        <w:pStyle w:val="Nadpis2"/>
        <w:tabs>
          <w:tab w:val="left" w:pos="362"/>
        </w:tabs>
        <w:spacing w:before="60" w:line="274" w:lineRule="exact"/>
        <w:rPr>
          <w:b w:val="0"/>
        </w:rPr>
      </w:pPr>
      <w:r>
        <w:t>Spolu                                                                                                             2 782 280,56 eur</w:t>
      </w:r>
      <w:r w:rsidR="0042062D" w:rsidRPr="0042062D">
        <w:rPr>
          <w:b w:val="0"/>
        </w:rPr>
        <w:cr/>
      </w:r>
    </w:p>
    <w:p w14:paraId="441988D3" w14:textId="32135D02" w:rsidR="009B62C9" w:rsidRDefault="003D1EEC" w:rsidP="008050DC">
      <w:pPr>
        <w:pStyle w:val="Nadpis2"/>
        <w:numPr>
          <w:ilvl w:val="0"/>
          <w:numId w:val="6"/>
        </w:numPr>
        <w:tabs>
          <w:tab w:val="left" w:pos="362"/>
        </w:tabs>
        <w:spacing w:before="60" w:line="274" w:lineRule="exact"/>
        <w:jc w:val="left"/>
        <w:rPr>
          <w:spacing w:val="-4"/>
        </w:rPr>
      </w:pPr>
      <w:r>
        <w:t>Ročné</w:t>
      </w:r>
      <w:r>
        <w:rPr>
          <w:spacing w:val="-3"/>
        </w:rPr>
        <w:t xml:space="preserve"> </w:t>
      </w:r>
      <w:r>
        <w:t>splátky</w:t>
      </w:r>
      <w:r>
        <w:rPr>
          <w:spacing w:val="-2"/>
        </w:rPr>
        <w:t xml:space="preserve"> </w:t>
      </w:r>
      <w:r>
        <w:t>úverov</w:t>
      </w:r>
      <w:r>
        <w:rPr>
          <w:spacing w:val="-1"/>
        </w:rPr>
        <w:t xml:space="preserve"> </w:t>
      </w:r>
      <w:r>
        <w:t>v</w:t>
      </w:r>
      <w:r>
        <w:rPr>
          <w:spacing w:val="-1"/>
        </w:rPr>
        <w:t xml:space="preserve"> </w:t>
      </w:r>
      <w:r>
        <w:t>roku</w:t>
      </w:r>
      <w:r>
        <w:rPr>
          <w:spacing w:val="-1"/>
        </w:rPr>
        <w:t xml:space="preserve"> </w:t>
      </w:r>
      <w:r>
        <w:rPr>
          <w:spacing w:val="-4"/>
        </w:rPr>
        <w:t>202</w:t>
      </w:r>
      <w:r w:rsidR="00912DA6">
        <w:rPr>
          <w:spacing w:val="-4"/>
        </w:rPr>
        <w:t>4</w:t>
      </w:r>
      <w:r w:rsidR="009B62C9">
        <w:rPr>
          <w:spacing w:val="-4"/>
        </w:rPr>
        <w:t xml:space="preserve"> </w:t>
      </w:r>
    </w:p>
    <w:p w14:paraId="5ADCFFAE" w14:textId="77777777" w:rsidR="009B62C9" w:rsidRPr="009B62C9" w:rsidRDefault="009B62C9" w:rsidP="009B62C9">
      <w:pPr>
        <w:pStyle w:val="Nadpis2"/>
        <w:tabs>
          <w:tab w:val="left" w:pos="362"/>
        </w:tabs>
        <w:spacing w:before="60" w:line="274" w:lineRule="exact"/>
        <w:ind w:firstLine="0"/>
        <w:jc w:val="left"/>
        <w:rPr>
          <w:spacing w:val="-4"/>
        </w:rPr>
      </w:pPr>
    </w:p>
    <w:p w14:paraId="4EBA368E" w14:textId="3ADFDADF" w:rsidR="003D1EEC" w:rsidRDefault="008050DC" w:rsidP="003D1EEC">
      <w:pPr>
        <w:pStyle w:val="Zkladntext"/>
        <w:ind w:left="121" w:right="365"/>
        <w:jc w:val="both"/>
      </w:pPr>
      <w:r>
        <w:t xml:space="preserve">     </w:t>
      </w:r>
      <w:r w:rsidR="003D1EEC">
        <w:t>Mesto počas rozpočtového roka sleduje vývoj dlhu a splátok podľa § 17 ods. 6 zákona č. 583/2004</w:t>
      </w:r>
      <w:r w:rsidR="00130D55">
        <w:t xml:space="preserve"> Z. z.</w:t>
      </w:r>
      <w:r w:rsidR="003D1EEC">
        <w:t xml:space="preserve">, postupuje v súlade s § 17 ods. 9 až 12 </w:t>
      </w:r>
      <w:r w:rsidR="00130D55">
        <w:t>citovaného</w:t>
      </w:r>
      <w:r w:rsidR="003D1EEC">
        <w:t xml:space="preserve"> zákona. V zmysle § 17 ods. 13 povinnosť uplatňovať ustanovenia</w:t>
      </w:r>
      <w:r w:rsidR="003D1EEC">
        <w:rPr>
          <w:spacing w:val="-8"/>
        </w:rPr>
        <w:t xml:space="preserve"> </w:t>
      </w:r>
      <w:r w:rsidR="003D1EEC">
        <w:t>odsekov</w:t>
      </w:r>
      <w:r w:rsidR="003D1EEC">
        <w:rPr>
          <w:spacing w:val="-7"/>
        </w:rPr>
        <w:t xml:space="preserve"> </w:t>
      </w:r>
      <w:r w:rsidR="003D1EEC">
        <w:t>10</w:t>
      </w:r>
      <w:r w:rsidR="003D1EEC">
        <w:rPr>
          <w:spacing w:val="-5"/>
        </w:rPr>
        <w:t xml:space="preserve"> </w:t>
      </w:r>
      <w:r w:rsidR="003D1EEC">
        <w:t>a</w:t>
      </w:r>
      <w:r w:rsidR="003D1EEC">
        <w:rPr>
          <w:spacing w:val="-8"/>
        </w:rPr>
        <w:t xml:space="preserve"> </w:t>
      </w:r>
      <w:r w:rsidR="003D1EEC">
        <w:t>11</w:t>
      </w:r>
      <w:r w:rsidR="003D1EEC">
        <w:rPr>
          <w:spacing w:val="-7"/>
        </w:rPr>
        <w:t xml:space="preserve"> </w:t>
      </w:r>
      <w:r w:rsidR="003D1EEC">
        <w:t>sa</w:t>
      </w:r>
      <w:r w:rsidR="003D1EEC">
        <w:rPr>
          <w:spacing w:val="-8"/>
        </w:rPr>
        <w:t xml:space="preserve"> </w:t>
      </w:r>
      <w:r w:rsidR="003D1EEC">
        <w:t>nevzťahuje</w:t>
      </w:r>
      <w:r w:rsidR="003D1EEC">
        <w:rPr>
          <w:spacing w:val="-8"/>
        </w:rPr>
        <w:t xml:space="preserve"> </w:t>
      </w:r>
      <w:r w:rsidR="003D1EEC">
        <w:t>na</w:t>
      </w:r>
      <w:r w:rsidR="003D1EEC">
        <w:rPr>
          <w:spacing w:val="-8"/>
        </w:rPr>
        <w:t xml:space="preserve"> </w:t>
      </w:r>
      <w:r w:rsidR="003D1EEC">
        <w:t>obdobie</w:t>
      </w:r>
      <w:r w:rsidR="003D1EEC">
        <w:rPr>
          <w:spacing w:val="-8"/>
        </w:rPr>
        <w:t xml:space="preserve"> </w:t>
      </w:r>
      <w:r w:rsidR="003D1EEC">
        <w:t>24</w:t>
      </w:r>
      <w:r w:rsidR="003D1EEC">
        <w:rPr>
          <w:spacing w:val="-7"/>
        </w:rPr>
        <w:t xml:space="preserve"> </w:t>
      </w:r>
      <w:r w:rsidR="003D1EEC">
        <w:t>mesiacov</w:t>
      </w:r>
      <w:r w:rsidR="003D1EEC">
        <w:rPr>
          <w:spacing w:val="-7"/>
        </w:rPr>
        <w:t xml:space="preserve"> </w:t>
      </w:r>
      <w:r w:rsidR="003D1EEC">
        <w:t>od</w:t>
      </w:r>
      <w:r w:rsidR="003D1EEC">
        <w:rPr>
          <w:spacing w:val="-7"/>
        </w:rPr>
        <w:t xml:space="preserve"> </w:t>
      </w:r>
      <w:r w:rsidR="003D1EEC">
        <w:t>prvého</w:t>
      </w:r>
      <w:r w:rsidR="003D1EEC">
        <w:rPr>
          <w:spacing w:val="-7"/>
        </w:rPr>
        <w:t xml:space="preserve"> </w:t>
      </w:r>
      <w:r w:rsidR="003D1EEC">
        <w:t>mesiaca</w:t>
      </w:r>
      <w:r w:rsidR="003D1EEC">
        <w:rPr>
          <w:spacing w:val="-8"/>
        </w:rPr>
        <w:t xml:space="preserve"> </w:t>
      </w:r>
      <w:r w:rsidR="003D1EEC">
        <w:t>nasledujúceho po mesiaci, v ktorom sa uskutočnilo ustanovujúce zasadnutie mestského zastupiteľstva a v prípadoch ustanovených osobitným predpisom.</w:t>
      </w:r>
    </w:p>
    <w:p w14:paraId="58CBD694" w14:textId="1FAFCF60" w:rsidR="003D1EEC" w:rsidRDefault="00AB179C" w:rsidP="003D1EEC">
      <w:pPr>
        <w:pStyle w:val="Zkladntext"/>
        <w:spacing w:after="8" w:line="274" w:lineRule="exact"/>
        <w:ind w:right="727"/>
        <w:jc w:val="right"/>
      </w:pPr>
      <w:r>
        <w:t>v eur</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7"/>
        <w:gridCol w:w="2189"/>
        <w:gridCol w:w="2192"/>
        <w:gridCol w:w="2189"/>
      </w:tblGrid>
      <w:tr w:rsidR="003D1EEC" w14:paraId="1FCC6F0D" w14:textId="77777777" w:rsidTr="00204E5B">
        <w:trPr>
          <w:trHeight w:val="1265"/>
        </w:trPr>
        <w:tc>
          <w:tcPr>
            <w:tcW w:w="3147" w:type="dxa"/>
          </w:tcPr>
          <w:p w14:paraId="1EF3C24F" w14:textId="77777777" w:rsidR="003D1EEC" w:rsidRDefault="003D1EEC" w:rsidP="00204E5B">
            <w:pPr>
              <w:pStyle w:val="TableParagraph"/>
              <w:spacing w:before="4"/>
              <w:rPr>
                <w:sz w:val="32"/>
              </w:rPr>
            </w:pPr>
          </w:p>
          <w:p w14:paraId="087222AD" w14:textId="77777777" w:rsidR="003D1EEC" w:rsidRDefault="003D1EEC" w:rsidP="00204E5B">
            <w:pPr>
              <w:pStyle w:val="TableParagraph"/>
              <w:spacing w:before="1"/>
              <w:ind w:left="107"/>
            </w:pPr>
            <w:r>
              <w:rPr>
                <w:spacing w:val="-2"/>
              </w:rPr>
              <w:t>Veriteľ</w:t>
            </w:r>
          </w:p>
          <w:p w14:paraId="1DA8EF63" w14:textId="77777777" w:rsidR="003D1EEC" w:rsidRDefault="003D1EEC" w:rsidP="00204E5B">
            <w:pPr>
              <w:pStyle w:val="TableParagraph"/>
              <w:spacing w:before="1"/>
              <w:ind w:left="107"/>
            </w:pPr>
            <w:r>
              <w:t>Číslo</w:t>
            </w:r>
            <w:r>
              <w:rPr>
                <w:spacing w:val="-1"/>
              </w:rPr>
              <w:t xml:space="preserve"> </w:t>
            </w:r>
            <w:r>
              <w:rPr>
                <w:spacing w:val="-2"/>
              </w:rPr>
              <w:t>zmluvy</w:t>
            </w:r>
          </w:p>
        </w:tc>
        <w:tc>
          <w:tcPr>
            <w:tcW w:w="2189" w:type="dxa"/>
          </w:tcPr>
          <w:p w14:paraId="74F466B4" w14:textId="77777777" w:rsidR="003D1EEC" w:rsidRDefault="003D1EEC" w:rsidP="00204E5B">
            <w:pPr>
              <w:pStyle w:val="TableParagraph"/>
              <w:spacing w:before="121" w:line="242" w:lineRule="auto"/>
              <w:ind w:left="249" w:right="469"/>
              <w:jc w:val="center"/>
              <w:rPr>
                <w:b/>
              </w:rPr>
            </w:pPr>
            <w:r>
              <w:rPr>
                <w:spacing w:val="-2"/>
              </w:rPr>
              <w:t xml:space="preserve">Predpokladané </w:t>
            </w:r>
            <w:r>
              <w:t xml:space="preserve">ročné splátky </w:t>
            </w:r>
            <w:r>
              <w:rPr>
                <w:b/>
                <w:spacing w:val="-2"/>
              </w:rPr>
              <w:t>istiny</w:t>
            </w:r>
          </w:p>
          <w:p w14:paraId="5F14FB01" w14:textId="6F77DA8E" w:rsidR="003D1EEC" w:rsidRDefault="003D1EEC" w:rsidP="00204E5B">
            <w:pPr>
              <w:pStyle w:val="TableParagraph"/>
              <w:spacing w:line="250" w:lineRule="exact"/>
              <w:ind w:left="249" w:right="414"/>
              <w:jc w:val="center"/>
              <w:rPr>
                <w:b/>
              </w:rPr>
            </w:pPr>
            <w:r>
              <w:rPr>
                <w:b/>
              </w:rPr>
              <w:t>za</w:t>
            </w:r>
            <w:r>
              <w:rPr>
                <w:b/>
                <w:spacing w:val="-1"/>
              </w:rPr>
              <w:t xml:space="preserve"> </w:t>
            </w:r>
            <w:r>
              <w:rPr>
                <w:b/>
              </w:rPr>
              <w:t>rok</w:t>
            </w:r>
            <w:r>
              <w:rPr>
                <w:b/>
                <w:spacing w:val="-1"/>
              </w:rPr>
              <w:t xml:space="preserve"> </w:t>
            </w:r>
            <w:r>
              <w:rPr>
                <w:b/>
                <w:spacing w:val="-4"/>
              </w:rPr>
              <w:t>202</w:t>
            </w:r>
            <w:r w:rsidR="00AB179C">
              <w:rPr>
                <w:b/>
                <w:spacing w:val="-4"/>
              </w:rPr>
              <w:t>4</w:t>
            </w:r>
          </w:p>
        </w:tc>
        <w:tc>
          <w:tcPr>
            <w:tcW w:w="2192" w:type="dxa"/>
          </w:tcPr>
          <w:p w14:paraId="42EE39B1" w14:textId="77777777" w:rsidR="003D1EEC" w:rsidRDefault="003D1EEC" w:rsidP="00204E5B">
            <w:pPr>
              <w:pStyle w:val="TableParagraph"/>
              <w:spacing w:before="121" w:line="242" w:lineRule="auto"/>
              <w:ind w:left="323" w:right="546"/>
              <w:jc w:val="center"/>
              <w:rPr>
                <w:b/>
              </w:rPr>
            </w:pPr>
            <w:r>
              <w:rPr>
                <w:spacing w:val="-2"/>
              </w:rPr>
              <w:t xml:space="preserve">Predpokladané </w:t>
            </w:r>
            <w:r>
              <w:t xml:space="preserve">ročné splátky </w:t>
            </w:r>
            <w:r>
              <w:rPr>
                <w:b/>
                <w:spacing w:val="-2"/>
              </w:rPr>
              <w:t>úrokov</w:t>
            </w:r>
          </w:p>
          <w:p w14:paraId="48281D75" w14:textId="19C5E791" w:rsidR="003D1EEC" w:rsidRDefault="003D1EEC" w:rsidP="00204E5B">
            <w:pPr>
              <w:pStyle w:val="TableParagraph"/>
              <w:spacing w:line="250" w:lineRule="exact"/>
              <w:ind w:left="323" w:right="544"/>
              <w:jc w:val="center"/>
              <w:rPr>
                <w:b/>
              </w:rPr>
            </w:pPr>
            <w:r>
              <w:rPr>
                <w:b/>
              </w:rPr>
              <w:t>za</w:t>
            </w:r>
            <w:r>
              <w:rPr>
                <w:b/>
                <w:spacing w:val="-1"/>
              </w:rPr>
              <w:t xml:space="preserve"> </w:t>
            </w:r>
            <w:r>
              <w:rPr>
                <w:b/>
              </w:rPr>
              <w:t>rok</w:t>
            </w:r>
            <w:r>
              <w:rPr>
                <w:b/>
                <w:spacing w:val="-1"/>
              </w:rPr>
              <w:t xml:space="preserve"> </w:t>
            </w:r>
            <w:r>
              <w:rPr>
                <w:b/>
                <w:spacing w:val="-4"/>
              </w:rPr>
              <w:t>202</w:t>
            </w:r>
            <w:r w:rsidR="005E47E2">
              <w:rPr>
                <w:b/>
                <w:spacing w:val="-4"/>
              </w:rPr>
              <w:t>4</w:t>
            </w:r>
          </w:p>
        </w:tc>
        <w:tc>
          <w:tcPr>
            <w:tcW w:w="2189" w:type="dxa"/>
          </w:tcPr>
          <w:p w14:paraId="45FEE965" w14:textId="77777777" w:rsidR="003D1EEC" w:rsidRDefault="003D1EEC" w:rsidP="00204E5B">
            <w:pPr>
              <w:pStyle w:val="TableParagraph"/>
              <w:spacing w:line="250" w:lineRule="exact"/>
              <w:ind w:left="249" w:right="467"/>
              <w:jc w:val="center"/>
              <w:rPr>
                <w:b/>
              </w:rPr>
            </w:pPr>
            <w:r>
              <w:rPr>
                <w:b/>
                <w:spacing w:val="-2"/>
              </w:rPr>
              <w:t>SPOLU</w:t>
            </w:r>
          </w:p>
          <w:p w14:paraId="5F4CA400" w14:textId="77777777" w:rsidR="003D1EEC" w:rsidRDefault="003D1EEC" w:rsidP="00204E5B">
            <w:pPr>
              <w:pStyle w:val="TableParagraph"/>
              <w:ind w:left="248" w:right="470"/>
              <w:jc w:val="center"/>
            </w:pPr>
            <w:r>
              <w:rPr>
                <w:spacing w:val="-2"/>
              </w:rPr>
              <w:t>predpokladaná splátka</w:t>
            </w:r>
          </w:p>
          <w:p w14:paraId="1A3C8BD0" w14:textId="77777777" w:rsidR="003D1EEC" w:rsidRDefault="003D1EEC" w:rsidP="00204E5B">
            <w:pPr>
              <w:pStyle w:val="TableParagraph"/>
              <w:spacing w:line="252" w:lineRule="exact"/>
              <w:ind w:left="249" w:right="470"/>
              <w:jc w:val="center"/>
              <w:rPr>
                <w:b/>
              </w:rPr>
            </w:pPr>
            <w:r>
              <w:rPr>
                <w:b/>
              </w:rPr>
              <w:t>(istina</w:t>
            </w:r>
            <w:r>
              <w:rPr>
                <w:b/>
                <w:spacing w:val="-14"/>
              </w:rPr>
              <w:t xml:space="preserve"> </w:t>
            </w:r>
            <w:r>
              <w:rPr>
                <w:b/>
              </w:rPr>
              <w:t>+</w:t>
            </w:r>
            <w:r>
              <w:rPr>
                <w:b/>
                <w:spacing w:val="-14"/>
              </w:rPr>
              <w:t xml:space="preserve"> </w:t>
            </w:r>
            <w:r>
              <w:rPr>
                <w:b/>
              </w:rPr>
              <w:t>úroky) za rok 2023</w:t>
            </w:r>
          </w:p>
        </w:tc>
      </w:tr>
      <w:tr w:rsidR="003D1EEC" w14:paraId="31DE038E" w14:textId="77777777" w:rsidTr="000205FA">
        <w:trPr>
          <w:trHeight w:val="484"/>
        </w:trPr>
        <w:tc>
          <w:tcPr>
            <w:tcW w:w="3147" w:type="dxa"/>
            <w:vAlign w:val="center"/>
          </w:tcPr>
          <w:p w14:paraId="529DA9E8" w14:textId="1E3726D5" w:rsidR="003D1EEC" w:rsidRDefault="00AB179C" w:rsidP="00204E5B">
            <w:pPr>
              <w:pStyle w:val="TableParagraph"/>
              <w:spacing w:line="226" w:lineRule="exact"/>
              <w:ind w:left="107"/>
              <w:rPr>
                <w:sz w:val="20"/>
              </w:rPr>
            </w:pPr>
            <w:r>
              <w:rPr>
                <w:sz w:val="20"/>
              </w:rPr>
              <w:t>ŠFRB</w:t>
            </w:r>
            <w:r w:rsidR="005E47E2">
              <w:rPr>
                <w:sz w:val="20"/>
              </w:rPr>
              <w:t xml:space="preserve"> Mestské nájomné byty</w:t>
            </w:r>
          </w:p>
        </w:tc>
        <w:tc>
          <w:tcPr>
            <w:tcW w:w="2189" w:type="dxa"/>
            <w:vAlign w:val="center"/>
          </w:tcPr>
          <w:p w14:paraId="058BFFD4" w14:textId="538567F1" w:rsidR="003D1EEC" w:rsidRDefault="00AB179C" w:rsidP="00204E5B">
            <w:pPr>
              <w:pStyle w:val="TableParagraph"/>
              <w:spacing w:before="109"/>
              <w:ind w:right="93"/>
              <w:jc w:val="right"/>
            </w:pPr>
            <w:r>
              <w:t>138 908,78</w:t>
            </w:r>
          </w:p>
        </w:tc>
        <w:tc>
          <w:tcPr>
            <w:tcW w:w="2192" w:type="dxa"/>
            <w:vAlign w:val="center"/>
          </w:tcPr>
          <w:p w14:paraId="66E21F16" w14:textId="393F31CE" w:rsidR="003D1EEC" w:rsidRDefault="005E47E2" w:rsidP="00204E5B">
            <w:pPr>
              <w:pStyle w:val="TableParagraph"/>
              <w:spacing w:before="109"/>
              <w:ind w:right="96"/>
              <w:jc w:val="right"/>
            </w:pPr>
            <w:r>
              <w:t>37 300,22</w:t>
            </w:r>
          </w:p>
        </w:tc>
        <w:tc>
          <w:tcPr>
            <w:tcW w:w="2189" w:type="dxa"/>
            <w:vAlign w:val="center"/>
          </w:tcPr>
          <w:p w14:paraId="0BCF7C3E" w14:textId="3C06E64E" w:rsidR="003D1EEC" w:rsidRDefault="007C2D9B" w:rsidP="00204E5B">
            <w:pPr>
              <w:pStyle w:val="TableParagraph"/>
              <w:spacing w:before="109"/>
              <w:ind w:right="93"/>
              <w:jc w:val="right"/>
            </w:pPr>
            <w:r>
              <w:t xml:space="preserve">176 209,00 </w:t>
            </w:r>
          </w:p>
        </w:tc>
      </w:tr>
      <w:tr w:rsidR="003D1EEC" w14:paraId="4BA974F6" w14:textId="77777777" w:rsidTr="000205FA">
        <w:trPr>
          <w:trHeight w:val="470"/>
        </w:trPr>
        <w:tc>
          <w:tcPr>
            <w:tcW w:w="3147" w:type="dxa"/>
            <w:vAlign w:val="center"/>
          </w:tcPr>
          <w:p w14:paraId="54E4D447" w14:textId="4144A323" w:rsidR="003D1EEC" w:rsidRDefault="00AB179C" w:rsidP="00204E5B">
            <w:pPr>
              <w:pStyle w:val="TableParagraph"/>
              <w:spacing w:line="212" w:lineRule="exact"/>
              <w:ind w:left="107"/>
              <w:rPr>
                <w:sz w:val="20"/>
              </w:rPr>
            </w:pPr>
            <w:r>
              <w:rPr>
                <w:sz w:val="20"/>
              </w:rPr>
              <w:t>ČSOB projekty</w:t>
            </w:r>
            <w:r w:rsidR="005E47E2">
              <w:rPr>
                <w:sz w:val="20"/>
              </w:rPr>
              <w:t xml:space="preserve"> EÚ</w:t>
            </w:r>
          </w:p>
        </w:tc>
        <w:tc>
          <w:tcPr>
            <w:tcW w:w="2189" w:type="dxa"/>
            <w:vAlign w:val="center"/>
          </w:tcPr>
          <w:p w14:paraId="69B07C29" w14:textId="36BFD2B0" w:rsidR="003D1EEC" w:rsidRDefault="00AB179C" w:rsidP="00204E5B">
            <w:pPr>
              <w:pStyle w:val="TableParagraph"/>
              <w:spacing w:before="104"/>
              <w:ind w:right="93"/>
              <w:jc w:val="right"/>
            </w:pPr>
            <w:r>
              <w:t>79 092,00</w:t>
            </w:r>
          </w:p>
        </w:tc>
        <w:tc>
          <w:tcPr>
            <w:tcW w:w="2192" w:type="dxa"/>
            <w:vAlign w:val="center"/>
          </w:tcPr>
          <w:p w14:paraId="32981EF7" w14:textId="2E86B812" w:rsidR="003D1EEC" w:rsidRDefault="005E47E2" w:rsidP="00204E5B">
            <w:pPr>
              <w:pStyle w:val="TableParagraph"/>
              <w:spacing w:before="104"/>
              <w:ind w:right="96"/>
              <w:jc w:val="right"/>
            </w:pPr>
            <w:r>
              <w:t>4 712,02</w:t>
            </w:r>
          </w:p>
        </w:tc>
        <w:tc>
          <w:tcPr>
            <w:tcW w:w="2189" w:type="dxa"/>
            <w:vAlign w:val="center"/>
          </w:tcPr>
          <w:p w14:paraId="10E8BD0E" w14:textId="14412315" w:rsidR="003D1EEC" w:rsidRDefault="007C2D9B" w:rsidP="00204E5B">
            <w:pPr>
              <w:pStyle w:val="TableParagraph"/>
              <w:spacing w:before="104"/>
              <w:ind w:right="93"/>
              <w:jc w:val="right"/>
            </w:pPr>
            <w:r>
              <w:t>83 804,02</w:t>
            </w:r>
          </w:p>
        </w:tc>
      </w:tr>
      <w:tr w:rsidR="003D1EEC" w14:paraId="3A0E8213" w14:textId="77777777" w:rsidTr="000205FA">
        <w:trPr>
          <w:trHeight w:val="472"/>
        </w:trPr>
        <w:tc>
          <w:tcPr>
            <w:tcW w:w="3147" w:type="dxa"/>
            <w:vAlign w:val="center"/>
          </w:tcPr>
          <w:p w14:paraId="6DE9DBCF" w14:textId="4630A6B4" w:rsidR="003D1EEC" w:rsidRDefault="00AB179C" w:rsidP="00204E5B">
            <w:pPr>
              <w:pStyle w:val="TableParagraph"/>
              <w:spacing w:line="216" w:lineRule="exact"/>
              <w:ind w:left="107"/>
              <w:rPr>
                <w:sz w:val="20"/>
              </w:rPr>
            </w:pPr>
            <w:r>
              <w:rPr>
                <w:sz w:val="20"/>
              </w:rPr>
              <w:t>ČSOB  futbalový štadión</w:t>
            </w:r>
          </w:p>
        </w:tc>
        <w:tc>
          <w:tcPr>
            <w:tcW w:w="2189" w:type="dxa"/>
            <w:vAlign w:val="center"/>
          </w:tcPr>
          <w:p w14:paraId="3FA285CA" w14:textId="4C7CAA24" w:rsidR="003D1EEC" w:rsidRDefault="00AB179C" w:rsidP="00204E5B">
            <w:pPr>
              <w:pStyle w:val="TableParagraph"/>
              <w:spacing w:before="104"/>
              <w:ind w:right="93"/>
              <w:jc w:val="right"/>
            </w:pPr>
            <w:r>
              <w:t>78 936,00</w:t>
            </w:r>
          </w:p>
        </w:tc>
        <w:tc>
          <w:tcPr>
            <w:tcW w:w="2192" w:type="dxa"/>
            <w:vAlign w:val="center"/>
          </w:tcPr>
          <w:p w14:paraId="58F37E4F" w14:textId="4A2D1B09" w:rsidR="003D1EEC" w:rsidRDefault="005E47E2" w:rsidP="00204E5B">
            <w:pPr>
              <w:pStyle w:val="TableParagraph"/>
              <w:spacing w:before="104"/>
              <w:ind w:right="96"/>
              <w:jc w:val="right"/>
            </w:pPr>
            <w:r>
              <w:t>2 327,25</w:t>
            </w:r>
          </w:p>
        </w:tc>
        <w:tc>
          <w:tcPr>
            <w:tcW w:w="2189" w:type="dxa"/>
            <w:vAlign w:val="center"/>
          </w:tcPr>
          <w:p w14:paraId="10417412" w14:textId="683B6375" w:rsidR="003D1EEC" w:rsidRDefault="007C2D9B" w:rsidP="00204E5B">
            <w:pPr>
              <w:pStyle w:val="TableParagraph"/>
              <w:spacing w:before="104"/>
              <w:ind w:right="93"/>
              <w:jc w:val="right"/>
            </w:pPr>
            <w:r>
              <w:t>81 263,25</w:t>
            </w:r>
          </w:p>
        </w:tc>
      </w:tr>
      <w:tr w:rsidR="003D1EEC" w14:paraId="14DE3244" w14:textId="77777777" w:rsidTr="000205FA">
        <w:trPr>
          <w:trHeight w:val="472"/>
        </w:trPr>
        <w:tc>
          <w:tcPr>
            <w:tcW w:w="3147" w:type="dxa"/>
            <w:vAlign w:val="center"/>
          </w:tcPr>
          <w:p w14:paraId="0AF8059C" w14:textId="183E55AB" w:rsidR="003D1EEC" w:rsidRDefault="00AB179C" w:rsidP="00204E5B">
            <w:pPr>
              <w:pStyle w:val="TableParagraph"/>
              <w:spacing w:line="215" w:lineRule="exact"/>
              <w:ind w:left="107"/>
              <w:rPr>
                <w:sz w:val="20"/>
              </w:rPr>
            </w:pPr>
            <w:r>
              <w:rPr>
                <w:sz w:val="20"/>
              </w:rPr>
              <w:t>SLSP investície mesta</w:t>
            </w:r>
          </w:p>
        </w:tc>
        <w:tc>
          <w:tcPr>
            <w:tcW w:w="2189" w:type="dxa"/>
            <w:vAlign w:val="center"/>
          </w:tcPr>
          <w:p w14:paraId="67FBD82F" w14:textId="329F2A80" w:rsidR="003D1EEC" w:rsidRDefault="00AB179C" w:rsidP="00204E5B">
            <w:pPr>
              <w:pStyle w:val="TableParagraph"/>
              <w:spacing w:before="104"/>
              <w:ind w:right="93"/>
              <w:jc w:val="right"/>
            </w:pPr>
            <w:r>
              <w:t>100 110,00</w:t>
            </w:r>
          </w:p>
        </w:tc>
        <w:tc>
          <w:tcPr>
            <w:tcW w:w="2192" w:type="dxa"/>
            <w:vAlign w:val="center"/>
          </w:tcPr>
          <w:p w14:paraId="43A16ADA" w14:textId="2A0BC57B" w:rsidR="003D1EEC" w:rsidRDefault="005E47E2" w:rsidP="00204E5B">
            <w:pPr>
              <w:pStyle w:val="TableParagraph"/>
              <w:spacing w:before="104"/>
              <w:ind w:right="96"/>
              <w:jc w:val="right"/>
            </w:pPr>
            <w:r>
              <w:t>3 513,40</w:t>
            </w:r>
          </w:p>
        </w:tc>
        <w:tc>
          <w:tcPr>
            <w:tcW w:w="2189" w:type="dxa"/>
            <w:vAlign w:val="center"/>
          </w:tcPr>
          <w:p w14:paraId="228CF6A1" w14:textId="27116314" w:rsidR="003D1EEC" w:rsidRDefault="007C2D9B" w:rsidP="00204E5B">
            <w:pPr>
              <w:pStyle w:val="TableParagraph"/>
              <w:spacing w:before="104"/>
              <w:ind w:right="93"/>
              <w:jc w:val="right"/>
            </w:pPr>
            <w:r>
              <w:t>103 623,40</w:t>
            </w:r>
          </w:p>
        </w:tc>
      </w:tr>
      <w:tr w:rsidR="007C2D9B" w14:paraId="1F7B1874" w14:textId="77777777" w:rsidTr="000205FA">
        <w:trPr>
          <w:trHeight w:val="472"/>
        </w:trPr>
        <w:tc>
          <w:tcPr>
            <w:tcW w:w="3147" w:type="dxa"/>
            <w:vAlign w:val="center"/>
          </w:tcPr>
          <w:p w14:paraId="17AB29AE" w14:textId="2EE7974F" w:rsidR="007C2D9B" w:rsidRPr="000205FA" w:rsidRDefault="007C2D9B" w:rsidP="00204E5B">
            <w:pPr>
              <w:pStyle w:val="TableParagraph"/>
              <w:spacing w:line="215" w:lineRule="exact"/>
              <w:ind w:left="107"/>
              <w:rPr>
                <w:b/>
                <w:sz w:val="20"/>
              </w:rPr>
            </w:pPr>
            <w:r w:rsidRPr="000205FA">
              <w:rPr>
                <w:b/>
                <w:sz w:val="20"/>
              </w:rPr>
              <w:t xml:space="preserve">SPOLU </w:t>
            </w:r>
            <w:r w:rsidR="000205FA" w:rsidRPr="000205FA">
              <w:rPr>
                <w:b/>
                <w:sz w:val="20"/>
              </w:rPr>
              <w:t>predpokladané splátky súčasných úverov mesta za rok 2024</w:t>
            </w:r>
          </w:p>
        </w:tc>
        <w:tc>
          <w:tcPr>
            <w:tcW w:w="2189" w:type="dxa"/>
            <w:vAlign w:val="center"/>
          </w:tcPr>
          <w:p w14:paraId="1C6AA6AB" w14:textId="333B1C34" w:rsidR="007C2D9B" w:rsidRPr="000205FA" w:rsidRDefault="000205FA" w:rsidP="00204E5B">
            <w:pPr>
              <w:pStyle w:val="TableParagraph"/>
              <w:spacing w:before="104"/>
              <w:ind w:right="93"/>
              <w:jc w:val="right"/>
              <w:rPr>
                <w:b/>
              </w:rPr>
            </w:pPr>
            <w:r w:rsidRPr="000205FA">
              <w:rPr>
                <w:b/>
              </w:rPr>
              <w:t>397 046,78</w:t>
            </w:r>
          </w:p>
        </w:tc>
        <w:tc>
          <w:tcPr>
            <w:tcW w:w="2192" w:type="dxa"/>
            <w:vAlign w:val="center"/>
          </w:tcPr>
          <w:p w14:paraId="4288B946" w14:textId="613D0B7E" w:rsidR="007C2D9B" w:rsidRPr="000205FA" w:rsidRDefault="000205FA" w:rsidP="00204E5B">
            <w:pPr>
              <w:pStyle w:val="TableParagraph"/>
              <w:spacing w:before="104"/>
              <w:ind w:right="96"/>
              <w:jc w:val="right"/>
              <w:rPr>
                <w:b/>
              </w:rPr>
            </w:pPr>
            <w:r w:rsidRPr="000205FA">
              <w:rPr>
                <w:b/>
              </w:rPr>
              <w:t>47 852,89</w:t>
            </w:r>
          </w:p>
        </w:tc>
        <w:tc>
          <w:tcPr>
            <w:tcW w:w="2189" w:type="dxa"/>
            <w:vAlign w:val="center"/>
          </w:tcPr>
          <w:p w14:paraId="12389364" w14:textId="4CBDF252" w:rsidR="007C2D9B" w:rsidRPr="000205FA" w:rsidRDefault="000205FA" w:rsidP="00204E5B">
            <w:pPr>
              <w:pStyle w:val="TableParagraph"/>
              <w:spacing w:before="104"/>
              <w:ind w:right="93"/>
              <w:jc w:val="right"/>
              <w:rPr>
                <w:b/>
              </w:rPr>
            </w:pPr>
            <w:r w:rsidRPr="000205FA">
              <w:rPr>
                <w:b/>
              </w:rPr>
              <w:t>444 899,67</w:t>
            </w:r>
          </w:p>
        </w:tc>
      </w:tr>
      <w:tr w:rsidR="003D1EEC" w14:paraId="73C499FB" w14:textId="77777777" w:rsidTr="000205FA">
        <w:trPr>
          <w:trHeight w:val="482"/>
        </w:trPr>
        <w:tc>
          <w:tcPr>
            <w:tcW w:w="3147" w:type="dxa"/>
            <w:vAlign w:val="center"/>
          </w:tcPr>
          <w:p w14:paraId="168FCA5F" w14:textId="22B8DD22" w:rsidR="003D1EEC" w:rsidRDefault="003D1EEC" w:rsidP="00AB179C">
            <w:pPr>
              <w:pStyle w:val="TableParagraph"/>
              <w:spacing w:line="239" w:lineRule="exact"/>
              <w:ind w:left="107"/>
              <w:rPr>
                <w:b/>
                <w:sz w:val="21"/>
              </w:rPr>
            </w:pPr>
            <w:r>
              <w:rPr>
                <w:b/>
                <w:sz w:val="21"/>
              </w:rPr>
              <w:t>NOVÝ</w:t>
            </w:r>
            <w:r>
              <w:rPr>
                <w:b/>
                <w:spacing w:val="-8"/>
                <w:sz w:val="21"/>
              </w:rPr>
              <w:t xml:space="preserve"> </w:t>
            </w:r>
            <w:r>
              <w:rPr>
                <w:b/>
                <w:sz w:val="21"/>
              </w:rPr>
              <w:t>ÚVER</w:t>
            </w:r>
            <w:r>
              <w:rPr>
                <w:b/>
                <w:spacing w:val="-3"/>
                <w:sz w:val="21"/>
              </w:rPr>
              <w:t xml:space="preserve"> </w:t>
            </w:r>
            <w:r w:rsidR="005E47E2" w:rsidRPr="005E47E2">
              <w:rPr>
                <w:spacing w:val="-3"/>
                <w:sz w:val="21"/>
              </w:rPr>
              <w:t xml:space="preserve">predpokladaná </w:t>
            </w:r>
            <w:r w:rsidR="005E47E2">
              <w:rPr>
                <w:spacing w:val="-3"/>
                <w:sz w:val="21"/>
              </w:rPr>
              <w:t xml:space="preserve"> splátka od 8./2024</w:t>
            </w:r>
            <w:r w:rsidR="008627CB">
              <w:rPr>
                <w:spacing w:val="-3"/>
                <w:sz w:val="21"/>
              </w:rPr>
              <w:t xml:space="preserve"> fix 2,99 % úrok</w:t>
            </w:r>
          </w:p>
        </w:tc>
        <w:tc>
          <w:tcPr>
            <w:tcW w:w="2189" w:type="dxa"/>
            <w:vAlign w:val="center"/>
          </w:tcPr>
          <w:p w14:paraId="25536E3D" w14:textId="355F0B99" w:rsidR="003D1EEC" w:rsidRDefault="001A0E12" w:rsidP="00204E5B">
            <w:pPr>
              <w:pStyle w:val="TableParagraph"/>
              <w:spacing w:before="109"/>
              <w:ind w:right="94"/>
              <w:jc w:val="right"/>
            </w:pPr>
            <w:r>
              <w:t>62 500,00</w:t>
            </w:r>
          </w:p>
        </w:tc>
        <w:tc>
          <w:tcPr>
            <w:tcW w:w="2192" w:type="dxa"/>
            <w:vAlign w:val="center"/>
          </w:tcPr>
          <w:p w14:paraId="0CB8D7D4" w14:textId="2A208B55" w:rsidR="003D1EEC" w:rsidRDefault="001A0E12" w:rsidP="00204E5B">
            <w:pPr>
              <w:pStyle w:val="TableParagraph"/>
              <w:spacing w:before="109"/>
              <w:ind w:right="96"/>
              <w:jc w:val="right"/>
            </w:pPr>
            <w:r>
              <w:t>18 687, 50</w:t>
            </w:r>
          </w:p>
        </w:tc>
        <w:tc>
          <w:tcPr>
            <w:tcW w:w="2189" w:type="dxa"/>
            <w:vAlign w:val="center"/>
          </w:tcPr>
          <w:p w14:paraId="2A3CA64D" w14:textId="68247062" w:rsidR="003D1EEC" w:rsidRDefault="000205FA" w:rsidP="00204E5B">
            <w:pPr>
              <w:pStyle w:val="TableParagraph"/>
              <w:spacing w:before="109"/>
              <w:ind w:right="94"/>
              <w:jc w:val="right"/>
            </w:pPr>
            <w:r>
              <w:t>81 187,50</w:t>
            </w:r>
          </w:p>
        </w:tc>
      </w:tr>
      <w:tr w:rsidR="003D1EEC" w14:paraId="39623665" w14:textId="77777777" w:rsidTr="000205FA">
        <w:trPr>
          <w:trHeight w:val="369"/>
        </w:trPr>
        <w:tc>
          <w:tcPr>
            <w:tcW w:w="3147" w:type="dxa"/>
            <w:vAlign w:val="center"/>
          </w:tcPr>
          <w:p w14:paraId="5854335C" w14:textId="78B8A9A6" w:rsidR="003D1EEC" w:rsidRPr="00B9103C" w:rsidRDefault="003D1EEC" w:rsidP="00204E5B">
            <w:pPr>
              <w:pStyle w:val="TableParagraph"/>
              <w:spacing w:before="42"/>
              <w:ind w:left="107"/>
              <w:rPr>
                <w:b/>
              </w:rPr>
            </w:pPr>
            <w:r w:rsidRPr="00B9103C">
              <w:rPr>
                <w:b/>
                <w:spacing w:val="-2"/>
              </w:rPr>
              <w:t>SPOLU</w:t>
            </w:r>
            <w:r w:rsidR="000205FA" w:rsidRPr="00B9103C">
              <w:rPr>
                <w:b/>
                <w:spacing w:val="-2"/>
              </w:rPr>
              <w:t xml:space="preserve"> po prijatí úveru</w:t>
            </w:r>
            <w:r w:rsidR="008627CB">
              <w:rPr>
                <w:b/>
                <w:spacing w:val="-2"/>
              </w:rPr>
              <w:t xml:space="preserve"> 1. </w:t>
            </w:r>
            <w:r w:rsidR="00130D55">
              <w:rPr>
                <w:b/>
                <w:spacing w:val="-2"/>
              </w:rPr>
              <w:t>alter</w:t>
            </w:r>
            <w:r w:rsidR="008627CB">
              <w:rPr>
                <w:b/>
                <w:spacing w:val="-2"/>
              </w:rPr>
              <w:t>.</w:t>
            </w:r>
          </w:p>
        </w:tc>
        <w:tc>
          <w:tcPr>
            <w:tcW w:w="2189" w:type="dxa"/>
            <w:vAlign w:val="center"/>
          </w:tcPr>
          <w:p w14:paraId="31432FF5" w14:textId="2CE2D2BF" w:rsidR="003D1EEC" w:rsidRPr="00B9103C" w:rsidRDefault="000205FA" w:rsidP="00204E5B">
            <w:pPr>
              <w:pStyle w:val="TableParagraph"/>
              <w:spacing w:before="42"/>
              <w:ind w:right="96"/>
              <w:jc w:val="right"/>
              <w:rPr>
                <w:b/>
              </w:rPr>
            </w:pPr>
            <w:r w:rsidRPr="00B9103C">
              <w:rPr>
                <w:b/>
              </w:rPr>
              <w:t>459 546,78</w:t>
            </w:r>
          </w:p>
        </w:tc>
        <w:tc>
          <w:tcPr>
            <w:tcW w:w="2192" w:type="dxa"/>
            <w:vAlign w:val="center"/>
          </w:tcPr>
          <w:p w14:paraId="7993942E" w14:textId="665C5608" w:rsidR="003D1EEC" w:rsidRPr="00B9103C" w:rsidRDefault="000205FA" w:rsidP="00204E5B">
            <w:pPr>
              <w:pStyle w:val="TableParagraph"/>
              <w:spacing w:before="42"/>
              <w:ind w:right="98"/>
              <w:jc w:val="right"/>
              <w:rPr>
                <w:b/>
              </w:rPr>
            </w:pPr>
            <w:r w:rsidRPr="00B9103C">
              <w:rPr>
                <w:b/>
              </w:rPr>
              <w:t>66 540,39</w:t>
            </w:r>
          </w:p>
        </w:tc>
        <w:tc>
          <w:tcPr>
            <w:tcW w:w="2189" w:type="dxa"/>
            <w:vAlign w:val="center"/>
          </w:tcPr>
          <w:p w14:paraId="2DA8A22C" w14:textId="24C04893" w:rsidR="003D1EEC" w:rsidRPr="00B9103C" w:rsidRDefault="000205FA" w:rsidP="00204E5B">
            <w:pPr>
              <w:pStyle w:val="TableParagraph"/>
              <w:spacing w:before="42"/>
              <w:ind w:right="96"/>
              <w:jc w:val="right"/>
              <w:rPr>
                <w:b/>
              </w:rPr>
            </w:pPr>
            <w:r w:rsidRPr="00B9103C">
              <w:rPr>
                <w:b/>
              </w:rPr>
              <w:t>526 087,17</w:t>
            </w:r>
          </w:p>
        </w:tc>
      </w:tr>
      <w:tr w:rsidR="008627CB" w14:paraId="5B619B2E" w14:textId="77777777" w:rsidTr="000205FA">
        <w:trPr>
          <w:trHeight w:val="369"/>
        </w:trPr>
        <w:tc>
          <w:tcPr>
            <w:tcW w:w="3147" w:type="dxa"/>
            <w:vAlign w:val="center"/>
          </w:tcPr>
          <w:p w14:paraId="30114EA6" w14:textId="2BBA34BB" w:rsidR="008627CB" w:rsidRPr="00B9103C" w:rsidRDefault="008627CB" w:rsidP="008627CB">
            <w:pPr>
              <w:pStyle w:val="TableParagraph"/>
              <w:spacing w:before="42"/>
              <w:ind w:left="107"/>
              <w:rPr>
                <w:b/>
                <w:spacing w:val="-2"/>
              </w:rPr>
            </w:pPr>
            <w:r>
              <w:rPr>
                <w:b/>
                <w:sz w:val="21"/>
              </w:rPr>
              <w:lastRenderedPageBreak/>
              <w:t>NOVÝ</w:t>
            </w:r>
            <w:r>
              <w:rPr>
                <w:b/>
                <w:spacing w:val="-8"/>
                <w:sz w:val="21"/>
              </w:rPr>
              <w:t xml:space="preserve"> </w:t>
            </w:r>
            <w:r>
              <w:rPr>
                <w:b/>
                <w:sz w:val="21"/>
              </w:rPr>
              <w:t>ÚVER</w:t>
            </w:r>
            <w:r>
              <w:rPr>
                <w:b/>
                <w:spacing w:val="-3"/>
                <w:sz w:val="21"/>
              </w:rPr>
              <w:t xml:space="preserve"> </w:t>
            </w:r>
            <w:r w:rsidRPr="005E47E2">
              <w:rPr>
                <w:spacing w:val="-3"/>
                <w:sz w:val="21"/>
              </w:rPr>
              <w:t xml:space="preserve">predpokladaná </w:t>
            </w:r>
            <w:r>
              <w:rPr>
                <w:spacing w:val="-3"/>
                <w:sz w:val="21"/>
              </w:rPr>
              <w:t xml:space="preserve"> splátka od 8./2024 </w:t>
            </w:r>
            <w:r>
              <w:rPr>
                <w:spacing w:val="-3"/>
                <w:sz w:val="21"/>
              </w:rPr>
              <w:t xml:space="preserve">  3,74 % úrok</w:t>
            </w:r>
          </w:p>
        </w:tc>
        <w:tc>
          <w:tcPr>
            <w:tcW w:w="2189" w:type="dxa"/>
            <w:vAlign w:val="center"/>
          </w:tcPr>
          <w:p w14:paraId="230306DB" w14:textId="3C2439D3" w:rsidR="008627CB" w:rsidRPr="00B9103C" w:rsidRDefault="008627CB" w:rsidP="008627CB">
            <w:pPr>
              <w:pStyle w:val="TableParagraph"/>
              <w:spacing w:before="42"/>
              <w:ind w:right="96"/>
              <w:jc w:val="right"/>
              <w:rPr>
                <w:b/>
              </w:rPr>
            </w:pPr>
            <w:r>
              <w:t>62 500,00</w:t>
            </w:r>
          </w:p>
        </w:tc>
        <w:tc>
          <w:tcPr>
            <w:tcW w:w="2192" w:type="dxa"/>
            <w:vAlign w:val="center"/>
          </w:tcPr>
          <w:p w14:paraId="462ABD26" w14:textId="1512ECD1" w:rsidR="008627CB" w:rsidRPr="008627CB" w:rsidRDefault="008627CB" w:rsidP="008627CB">
            <w:pPr>
              <w:pStyle w:val="TableParagraph"/>
              <w:spacing w:before="42"/>
              <w:ind w:right="98"/>
              <w:jc w:val="right"/>
            </w:pPr>
            <w:r w:rsidRPr="008627CB">
              <w:t>23</w:t>
            </w:r>
            <w:r>
              <w:t> </w:t>
            </w:r>
            <w:r w:rsidRPr="008627CB">
              <w:t>375</w:t>
            </w:r>
            <w:r>
              <w:t>,00</w:t>
            </w:r>
          </w:p>
        </w:tc>
        <w:tc>
          <w:tcPr>
            <w:tcW w:w="2189" w:type="dxa"/>
            <w:vAlign w:val="center"/>
          </w:tcPr>
          <w:p w14:paraId="70A7407B" w14:textId="777B8552" w:rsidR="008627CB" w:rsidRPr="00B9103C" w:rsidRDefault="008627CB" w:rsidP="008627CB">
            <w:pPr>
              <w:pStyle w:val="TableParagraph"/>
              <w:spacing w:before="42"/>
              <w:ind w:right="96"/>
              <w:jc w:val="right"/>
              <w:rPr>
                <w:b/>
              </w:rPr>
            </w:pPr>
            <w:r>
              <w:rPr>
                <w:b/>
              </w:rPr>
              <w:t>85</w:t>
            </w:r>
            <w:r w:rsidR="00F611A4">
              <w:rPr>
                <w:b/>
              </w:rPr>
              <w:t> </w:t>
            </w:r>
            <w:r>
              <w:rPr>
                <w:b/>
              </w:rPr>
              <w:t>875</w:t>
            </w:r>
            <w:r w:rsidR="00F611A4">
              <w:rPr>
                <w:b/>
              </w:rPr>
              <w:t>,00</w:t>
            </w:r>
          </w:p>
        </w:tc>
      </w:tr>
      <w:tr w:rsidR="008627CB" w14:paraId="78061D59" w14:textId="77777777" w:rsidTr="000205FA">
        <w:trPr>
          <w:trHeight w:val="369"/>
        </w:trPr>
        <w:tc>
          <w:tcPr>
            <w:tcW w:w="3147" w:type="dxa"/>
            <w:vAlign w:val="center"/>
          </w:tcPr>
          <w:p w14:paraId="523319D2" w14:textId="32B7DA13" w:rsidR="008627CB" w:rsidRPr="00B9103C" w:rsidRDefault="008627CB" w:rsidP="008627CB">
            <w:pPr>
              <w:pStyle w:val="TableParagraph"/>
              <w:spacing w:before="42"/>
              <w:ind w:left="107"/>
              <w:rPr>
                <w:b/>
                <w:spacing w:val="-2"/>
              </w:rPr>
            </w:pPr>
            <w:r w:rsidRPr="00B9103C">
              <w:rPr>
                <w:b/>
                <w:spacing w:val="-2"/>
              </w:rPr>
              <w:t>SPOLU po prijatí úveru</w:t>
            </w:r>
            <w:r>
              <w:rPr>
                <w:b/>
                <w:spacing w:val="-2"/>
              </w:rPr>
              <w:t xml:space="preserve"> 2. </w:t>
            </w:r>
            <w:r w:rsidR="00130D55">
              <w:rPr>
                <w:b/>
                <w:spacing w:val="-2"/>
              </w:rPr>
              <w:t>alter</w:t>
            </w:r>
            <w:r>
              <w:rPr>
                <w:b/>
                <w:spacing w:val="-2"/>
              </w:rPr>
              <w:t>.</w:t>
            </w:r>
          </w:p>
        </w:tc>
        <w:tc>
          <w:tcPr>
            <w:tcW w:w="2189" w:type="dxa"/>
            <w:vAlign w:val="center"/>
          </w:tcPr>
          <w:p w14:paraId="0D7280FB" w14:textId="42FA1237" w:rsidR="008627CB" w:rsidRPr="00B9103C" w:rsidRDefault="008627CB" w:rsidP="008627CB">
            <w:pPr>
              <w:pStyle w:val="TableParagraph"/>
              <w:spacing w:before="42"/>
              <w:ind w:right="96"/>
              <w:jc w:val="right"/>
              <w:rPr>
                <w:b/>
              </w:rPr>
            </w:pPr>
            <w:r w:rsidRPr="00B9103C">
              <w:rPr>
                <w:b/>
              </w:rPr>
              <w:t>459 546,78</w:t>
            </w:r>
          </w:p>
        </w:tc>
        <w:tc>
          <w:tcPr>
            <w:tcW w:w="2192" w:type="dxa"/>
            <w:vAlign w:val="center"/>
          </w:tcPr>
          <w:p w14:paraId="7CCAE20A" w14:textId="1C0BDE6C" w:rsidR="008627CB" w:rsidRPr="00B9103C" w:rsidRDefault="008627CB" w:rsidP="008627CB">
            <w:pPr>
              <w:pStyle w:val="TableParagraph"/>
              <w:spacing w:before="42"/>
              <w:ind w:right="98"/>
              <w:jc w:val="right"/>
              <w:rPr>
                <w:b/>
              </w:rPr>
            </w:pPr>
            <w:r>
              <w:rPr>
                <w:b/>
              </w:rPr>
              <w:t>71 227,89</w:t>
            </w:r>
          </w:p>
        </w:tc>
        <w:tc>
          <w:tcPr>
            <w:tcW w:w="2189" w:type="dxa"/>
            <w:vAlign w:val="center"/>
          </w:tcPr>
          <w:p w14:paraId="0E4E9711" w14:textId="461B3B6E" w:rsidR="008627CB" w:rsidRPr="00B9103C" w:rsidRDefault="00F611A4" w:rsidP="008627CB">
            <w:pPr>
              <w:pStyle w:val="TableParagraph"/>
              <w:spacing w:before="42"/>
              <w:ind w:right="96"/>
              <w:jc w:val="right"/>
              <w:rPr>
                <w:b/>
              </w:rPr>
            </w:pPr>
            <w:r>
              <w:rPr>
                <w:b/>
              </w:rPr>
              <w:t>530 774,67</w:t>
            </w:r>
          </w:p>
        </w:tc>
      </w:tr>
    </w:tbl>
    <w:p w14:paraId="7076133E" w14:textId="77777777" w:rsidR="00F611A4" w:rsidRDefault="00FE35B3" w:rsidP="00FE35B3">
      <w:pPr>
        <w:pStyle w:val="Nadpis2"/>
        <w:tabs>
          <w:tab w:val="left" w:pos="422"/>
        </w:tabs>
        <w:spacing w:before="90"/>
        <w:ind w:left="0" w:firstLine="0"/>
      </w:pPr>
      <w:r>
        <w:t xml:space="preserve"> </w:t>
      </w:r>
    </w:p>
    <w:p w14:paraId="592A0C53" w14:textId="7071AFF1" w:rsidR="00130D55" w:rsidRDefault="00130D55" w:rsidP="00130D55">
      <w:pPr>
        <w:pStyle w:val="Nadpis2"/>
        <w:tabs>
          <w:tab w:val="left" w:pos="422"/>
        </w:tabs>
        <w:ind w:left="0" w:firstLine="0"/>
        <w:rPr>
          <w:b w:val="0"/>
        </w:rPr>
      </w:pPr>
      <w:r>
        <w:t xml:space="preserve">          </w:t>
      </w:r>
      <w:r w:rsidRPr="00130D55">
        <w:rPr>
          <w:b w:val="0"/>
        </w:rPr>
        <w:t>Pri</w:t>
      </w:r>
      <w:r>
        <w:rPr>
          <w:b w:val="0"/>
        </w:rPr>
        <w:t xml:space="preserve"> </w:t>
      </w:r>
      <w:r w:rsidRPr="00130D55">
        <w:rPr>
          <w:b w:val="0"/>
        </w:rPr>
        <w:t xml:space="preserve"> výpočte</w:t>
      </w:r>
      <w:r>
        <w:rPr>
          <w:b w:val="0"/>
        </w:rPr>
        <w:t xml:space="preserve">   predpokladanej  </w:t>
      </w:r>
      <w:r w:rsidRPr="00130D55">
        <w:rPr>
          <w:b w:val="0"/>
        </w:rPr>
        <w:t xml:space="preserve"> výšky </w:t>
      </w:r>
      <w:r>
        <w:rPr>
          <w:b w:val="0"/>
        </w:rPr>
        <w:t xml:space="preserve">  </w:t>
      </w:r>
      <w:r w:rsidRPr="00130D55">
        <w:rPr>
          <w:b w:val="0"/>
        </w:rPr>
        <w:t>splátok</w:t>
      </w:r>
      <w:r>
        <w:rPr>
          <w:b w:val="0"/>
        </w:rPr>
        <w:t xml:space="preserve">   istiny  a   úrokov </w:t>
      </w:r>
      <w:r w:rsidRPr="00130D55">
        <w:rPr>
          <w:b w:val="0"/>
        </w:rPr>
        <w:t xml:space="preserve"> za rok 2024 som vychádzal</w:t>
      </w:r>
      <w:r>
        <w:rPr>
          <w:b w:val="0"/>
        </w:rPr>
        <w:t>a</w:t>
      </w:r>
      <w:r w:rsidRPr="00130D55">
        <w:rPr>
          <w:b w:val="0"/>
        </w:rPr>
        <w:t xml:space="preserve"> </w:t>
      </w:r>
    </w:p>
    <w:p w14:paraId="643EFDAB" w14:textId="05EC50D8" w:rsidR="00F611A4" w:rsidRDefault="00130D55" w:rsidP="00130D55">
      <w:pPr>
        <w:pStyle w:val="Nadpis2"/>
        <w:tabs>
          <w:tab w:val="left" w:pos="422"/>
        </w:tabs>
        <w:ind w:left="0" w:firstLine="0"/>
        <w:rPr>
          <w:b w:val="0"/>
        </w:rPr>
      </w:pPr>
      <w:r w:rsidRPr="00130D55">
        <w:rPr>
          <w:b w:val="0"/>
        </w:rPr>
        <w:t>zo skutočnosti</w:t>
      </w:r>
      <w:r>
        <w:rPr>
          <w:b w:val="0"/>
        </w:rPr>
        <w:t xml:space="preserve"> zaúčtovanej </w:t>
      </w:r>
      <w:r w:rsidRPr="00130D55">
        <w:rPr>
          <w:b w:val="0"/>
        </w:rPr>
        <w:t xml:space="preserve"> k 30. 6. 2024, ktorú som prepočítala na 12 mesiacov.</w:t>
      </w:r>
    </w:p>
    <w:p w14:paraId="114FAD44" w14:textId="547796C1" w:rsidR="00130D55" w:rsidRDefault="00130D55" w:rsidP="00130D55">
      <w:pPr>
        <w:pStyle w:val="Nadpis2"/>
        <w:tabs>
          <w:tab w:val="left" w:pos="422"/>
        </w:tabs>
        <w:ind w:left="0" w:firstLine="0"/>
        <w:rPr>
          <w:b w:val="0"/>
        </w:rPr>
      </w:pPr>
    </w:p>
    <w:p w14:paraId="0ADF3AAA" w14:textId="77777777" w:rsidR="00130D55" w:rsidRPr="00130D55" w:rsidRDefault="00130D55" w:rsidP="00130D55">
      <w:pPr>
        <w:pStyle w:val="Nadpis2"/>
        <w:tabs>
          <w:tab w:val="left" w:pos="422"/>
        </w:tabs>
        <w:ind w:left="0" w:firstLine="0"/>
        <w:rPr>
          <w:b w:val="0"/>
        </w:rPr>
      </w:pPr>
    </w:p>
    <w:p w14:paraId="74BF8FCF" w14:textId="7CCD1F84" w:rsidR="003D1EEC" w:rsidRDefault="003D1EEC" w:rsidP="00FE35B3">
      <w:pPr>
        <w:pStyle w:val="Nadpis2"/>
        <w:tabs>
          <w:tab w:val="left" w:pos="422"/>
        </w:tabs>
        <w:spacing w:before="90"/>
        <w:ind w:left="0" w:firstLine="0"/>
      </w:pPr>
      <w:r>
        <w:t>Výpočet</w:t>
      </w:r>
      <w:r>
        <w:rPr>
          <w:spacing w:val="-3"/>
        </w:rPr>
        <w:t xml:space="preserve"> </w:t>
      </w:r>
      <w:r>
        <w:t>podľa</w:t>
      </w:r>
      <w:r>
        <w:rPr>
          <w:spacing w:val="-1"/>
        </w:rPr>
        <w:t xml:space="preserve"> </w:t>
      </w:r>
      <w:r>
        <w:t>§</w:t>
      </w:r>
      <w:r>
        <w:rPr>
          <w:spacing w:val="-1"/>
        </w:rPr>
        <w:t xml:space="preserve"> </w:t>
      </w:r>
      <w:r>
        <w:t>17</w:t>
      </w:r>
      <w:r>
        <w:rPr>
          <w:spacing w:val="-1"/>
        </w:rPr>
        <w:t xml:space="preserve"> </w:t>
      </w:r>
      <w:r>
        <w:t>ods.</w:t>
      </w:r>
      <w:r>
        <w:rPr>
          <w:spacing w:val="-3"/>
        </w:rPr>
        <w:t xml:space="preserve"> </w:t>
      </w:r>
      <w:r>
        <w:t>6</w:t>
      </w:r>
      <w:r>
        <w:rPr>
          <w:spacing w:val="-1"/>
        </w:rPr>
        <w:t xml:space="preserve"> </w:t>
      </w:r>
      <w:r>
        <w:t>zákona</w:t>
      </w:r>
      <w:r>
        <w:rPr>
          <w:spacing w:val="-1"/>
        </w:rPr>
        <w:t xml:space="preserve"> </w:t>
      </w:r>
      <w:r>
        <w:t>583/2004</w:t>
      </w:r>
      <w:r>
        <w:rPr>
          <w:spacing w:val="-3"/>
        </w:rPr>
        <w:t xml:space="preserve"> </w:t>
      </w:r>
      <w:r>
        <w:t>Z.</w:t>
      </w:r>
      <w:r>
        <w:rPr>
          <w:spacing w:val="1"/>
        </w:rPr>
        <w:t xml:space="preserve"> </w:t>
      </w:r>
      <w:r>
        <w:rPr>
          <w:spacing w:val="-5"/>
        </w:rPr>
        <w:t>z.</w:t>
      </w:r>
    </w:p>
    <w:p w14:paraId="73FCF4BA" w14:textId="77777777" w:rsidR="003D1EEC" w:rsidRDefault="003D1EEC" w:rsidP="003D1EEC">
      <w:pPr>
        <w:pStyle w:val="Zkladntext"/>
        <w:spacing w:before="3"/>
        <w:rPr>
          <w:b/>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3118"/>
        <w:gridCol w:w="2894"/>
      </w:tblGrid>
      <w:tr w:rsidR="003D1EEC" w14:paraId="32425D01" w14:textId="77777777" w:rsidTr="00204E5B">
        <w:trPr>
          <w:trHeight w:val="525"/>
        </w:trPr>
        <w:tc>
          <w:tcPr>
            <w:tcW w:w="3682" w:type="dxa"/>
          </w:tcPr>
          <w:p w14:paraId="4A457F94" w14:textId="77777777" w:rsidR="003D1EEC" w:rsidRDefault="003D1EEC" w:rsidP="00204E5B">
            <w:pPr>
              <w:pStyle w:val="TableParagraph"/>
              <w:spacing w:before="130"/>
              <w:ind w:left="180" w:right="398"/>
              <w:jc w:val="center"/>
            </w:pPr>
            <w:r>
              <w:t>Zostatok</w:t>
            </w:r>
            <w:r>
              <w:rPr>
                <w:spacing w:val="-5"/>
              </w:rPr>
              <w:t xml:space="preserve"> </w:t>
            </w:r>
            <w:r>
              <w:t>predpoklad.</w:t>
            </w:r>
            <w:r>
              <w:rPr>
                <w:spacing w:val="-5"/>
              </w:rPr>
              <w:t xml:space="preserve"> </w:t>
            </w:r>
            <w:r>
              <w:t>istiny</w:t>
            </w:r>
            <w:r>
              <w:rPr>
                <w:spacing w:val="-4"/>
              </w:rPr>
              <w:t xml:space="preserve"> </w:t>
            </w:r>
            <w:r>
              <w:rPr>
                <w:spacing w:val="-2"/>
              </w:rPr>
              <w:t>úverov</w:t>
            </w:r>
          </w:p>
        </w:tc>
        <w:tc>
          <w:tcPr>
            <w:tcW w:w="3118" w:type="dxa"/>
          </w:tcPr>
          <w:p w14:paraId="673C1BEB" w14:textId="5F39BAB3" w:rsidR="003D1EEC" w:rsidRDefault="003D1EEC" w:rsidP="00204E5B">
            <w:pPr>
              <w:pStyle w:val="TableParagraph"/>
              <w:spacing w:before="1" w:line="252" w:lineRule="exact"/>
              <w:ind w:left="864" w:right="591" w:hanging="438"/>
            </w:pPr>
            <w:r>
              <w:t>Skutočné</w:t>
            </w:r>
            <w:r>
              <w:rPr>
                <w:spacing w:val="-14"/>
              </w:rPr>
              <w:t xml:space="preserve"> </w:t>
            </w:r>
            <w:r>
              <w:t>bežné</w:t>
            </w:r>
            <w:r w:rsidR="00F4600D">
              <w:t xml:space="preserve"> </w:t>
            </w:r>
            <w:r>
              <w:rPr>
                <w:spacing w:val="-14"/>
              </w:rPr>
              <w:t xml:space="preserve"> </w:t>
            </w:r>
            <w:r>
              <w:t>príjmy k 31.12.202</w:t>
            </w:r>
            <w:r w:rsidR="00F4600D">
              <w:t>3</w:t>
            </w:r>
          </w:p>
        </w:tc>
        <w:tc>
          <w:tcPr>
            <w:tcW w:w="2894" w:type="dxa"/>
          </w:tcPr>
          <w:p w14:paraId="0807E755" w14:textId="77777777" w:rsidR="003D1EEC" w:rsidRDefault="003D1EEC" w:rsidP="00204E5B">
            <w:pPr>
              <w:pStyle w:val="TableParagraph"/>
              <w:spacing w:before="130"/>
              <w:ind w:left="479" w:right="699"/>
              <w:jc w:val="center"/>
              <w:rPr>
                <w:b/>
              </w:rPr>
            </w:pPr>
            <w:r>
              <w:t>§</w:t>
            </w:r>
            <w:r>
              <w:rPr>
                <w:spacing w:val="-5"/>
              </w:rPr>
              <w:t xml:space="preserve"> </w:t>
            </w:r>
            <w:r>
              <w:t>17</w:t>
            </w:r>
            <w:r>
              <w:rPr>
                <w:spacing w:val="-2"/>
              </w:rPr>
              <w:t xml:space="preserve"> </w:t>
            </w:r>
            <w:r>
              <w:t>ods.6</w:t>
            </w:r>
            <w:r>
              <w:rPr>
                <w:spacing w:val="-2"/>
              </w:rPr>
              <w:t xml:space="preserve"> </w:t>
            </w:r>
            <w:r>
              <w:t>písm.</w:t>
            </w:r>
            <w:r>
              <w:rPr>
                <w:spacing w:val="-2"/>
              </w:rPr>
              <w:t xml:space="preserve"> </w:t>
            </w:r>
            <w:r>
              <w:rPr>
                <w:b/>
                <w:spacing w:val="-5"/>
              </w:rPr>
              <w:t>a)</w:t>
            </w:r>
          </w:p>
        </w:tc>
      </w:tr>
      <w:tr w:rsidR="003D1EEC" w14:paraId="0DF5031D" w14:textId="77777777" w:rsidTr="00204E5B">
        <w:trPr>
          <w:trHeight w:val="575"/>
        </w:trPr>
        <w:tc>
          <w:tcPr>
            <w:tcW w:w="3682" w:type="dxa"/>
          </w:tcPr>
          <w:p w14:paraId="36F6C0E3" w14:textId="32F795C7" w:rsidR="003D1EEC" w:rsidRDefault="00F4600D" w:rsidP="00204E5B">
            <w:pPr>
              <w:pStyle w:val="TableParagraph"/>
              <w:spacing w:before="140"/>
              <w:ind w:left="175" w:right="398"/>
              <w:jc w:val="center"/>
              <w:rPr>
                <w:sz w:val="24"/>
              </w:rPr>
            </w:pPr>
            <w:r>
              <w:rPr>
                <w:sz w:val="24"/>
              </w:rPr>
              <w:t>2 900 792,97 eur</w:t>
            </w:r>
          </w:p>
        </w:tc>
        <w:tc>
          <w:tcPr>
            <w:tcW w:w="3118" w:type="dxa"/>
          </w:tcPr>
          <w:p w14:paraId="33528FEB" w14:textId="1781FE87" w:rsidR="003D1EEC" w:rsidRDefault="00F4600D" w:rsidP="00204E5B">
            <w:pPr>
              <w:pStyle w:val="TableParagraph"/>
              <w:spacing w:before="140"/>
              <w:ind w:left="720"/>
              <w:rPr>
                <w:sz w:val="24"/>
              </w:rPr>
            </w:pPr>
            <w:r w:rsidRPr="00FF119E">
              <w:rPr>
                <w:sz w:val="24"/>
                <w:szCs w:val="24"/>
              </w:rPr>
              <w:t>9 020 427,74</w:t>
            </w:r>
            <w:r>
              <w:rPr>
                <w:sz w:val="24"/>
                <w:szCs w:val="24"/>
              </w:rPr>
              <w:t xml:space="preserve"> eur</w:t>
            </w:r>
          </w:p>
        </w:tc>
        <w:tc>
          <w:tcPr>
            <w:tcW w:w="2894" w:type="dxa"/>
          </w:tcPr>
          <w:p w14:paraId="016800D8" w14:textId="7501E0EC" w:rsidR="003D1EEC" w:rsidRDefault="002C33C5" w:rsidP="00204E5B">
            <w:pPr>
              <w:pStyle w:val="TableParagraph"/>
              <w:spacing w:before="125"/>
              <w:ind w:left="479" w:right="695"/>
              <w:jc w:val="center"/>
              <w:rPr>
                <w:sz w:val="24"/>
              </w:rPr>
            </w:pPr>
            <w:r>
              <w:rPr>
                <w:b/>
                <w:sz w:val="24"/>
              </w:rPr>
              <w:t>32,16</w:t>
            </w:r>
            <w:r w:rsidR="003D1EEC">
              <w:rPr>
                <w:b/>
                <w:sz w:val="24"/>
              </w:rPr>
              <w:t xml:space="preserve"> %</w:t>
            </w:r>
            <w:r w:rsidR="003D1EEC">
              <w:rPr>
                <w:b/>
                <w:spacing w:val="2"/>
                <w:sz w:val="24"/>
              </w:rPr>
              <w:t xml:space="preserve"> </w:t>
            </w:r>
            <w:r w:rsidR="003D1EEC">
              <w:rPr>
                <w:rFonts w:ascii="Segoe UI"/>
                <w:sz w:val="24"/>
              </w:rPr>
              <w:t>&lt;</w:t>
            </w:r>
            <w:r w:rsidR="003D1EEC">
              <w:rPr>
                <w:rFonts w:ascii="Segoe UI"/>
                <w:spacing w:val="-7"/>
                <w:sz w:val="24"/>
              </w:rPr>
              <w:t xml:space="preserve"> </w:t>
            </w:r>
            <w:r w:rsidR="003D1EEC">
              <w:rPr>
                <w:spacing w:val="-5"/>
                <w:sz w:val="24"/>
              </w:rPr>
              <w:t>60%</w:t>
            </w:r>
          </w:p>
        </w:tc>
      </w:tr>
    </w:tbl>
    <w:p w14:paraId="7B1C8D57" w14:textId="77777777" w:rsidR="002C33C5" w:rsidRDefault="002C33C5" w:rsidP="003D1EEC">
      <w:pPr>
        <w:pStyle w:val="Zkladntext"/>
        <w:ind w:left="121"/>
      </w:pPr>
    </w:p>
    <w:p w14:paraId="0B851C32" w14:textId="6EAA76A3" w:rsidR="003D1EEC" w:rsidRDefault="002C33C5" w:rsidP="003D1EEC">
      <w:pPr>
        <w:pStyle w:val="Zkladntext"/>
        <w:ind w:left="121"/>
        <w:rPr>
          <w:b/>
          <w:spacing w:val="-2"/>
        </w:rPr>
      </w:pPr>
      <w:r>
        <w:t xml:space="preserve">     </w:t>
      </w:r>
      <w:r w:rsidR="003D1EEC">
        <w:t>Zákonná</w:t>
      </w:r>
      <w:r w:rsidR="003D1EEC">
        <w:rPr>
          <w:spacing w:val="-4"/>
        </w:rPr>
        <w:t xml:space="preserve"> </w:t>
      </w:r>
      <w:r w:rsidR="003D1EEC">
        <w:t>podmienka</w:t>
      </w:r>
      <w:r w:rsidR="003D1EEC">
        <w:rPr>
          <w:spacing w:val="-1"/>
        </w:rPr>
        <w:t xml:space="preserve"> </w:t>
      </w:r>
      <w:r w:rsidR="003D1EEC">
        <w:t>podľa</w:t>
      </w:r>
      <w:r w:rsidR="003D1EEC">
        <w:rPr>
          <w:spacing w:val="-2"/>
        </w:rPr>
        <w:t xml:space="preserve"> </w:t>
      </w:r>
      <w:r w:rsidR="003D1EEC">
        <w:t>§ 17</w:t>
      </w:r>
      <w:r w:rsidR="003D1EEC">
        <w:rPr>
          <w:spacing w:val="-1"/>
        </w:rPr>
        <w:t xml:space="preserve"> </w:t>
      </w:r>
      <w:r w:rsidR="003D1EEC">
        <w:t>ods.6 písm.</w:t>
      </w:r>
      <w:r w:rsidR="003D1EEC">
        <w:rPr>
          <w:spacing w:val="-2"/>
        </w:rPr>
        <w:t xml:space="preserve"> </w:t>
      </w:r>
      <w:r w:rsidR="003D1EEC">
        <w:t>a)</w:t>
      </w:r>
      <w:r w:rsidR="003D1EEC">
        <w:rPr>
          <w:spacing w:val="-1"/>
        </w:rPr>
        <w:t xml:space="preserve"> </w:t>
      </w:r>
      <w:r w:rsidR="003D1EEC">
        <w:t>zákona</w:t>
      </w:r>
      <w:r w:rsidR="003D1EEC">
        <w:rPr>
          <w:spacing w:val="-2"/>
        </w:rPr>
        <w:t xml:space="preserve"> </w:t>
      </w:r>
      <w:r w:rsidR="003D1EEC">
        <w:t>č.583/2004</w:t>
      </w:r>
      <w:r w:rsidR="003D1EEC">
        <w:rPr>
          <w:spacing w:val="2"/>
        </w:rPr>
        <w:t xml:space="preserve"> </w:t>
      </w:r>
      <w:r w:rsidR="003D1EEC">
        <w:t>Z.</w:t>
      </w:r>
      <w:r w:rsidR="003D1EEC">
        <w:rPr>
          <w:spacing w:val="2"/>
        </w:rPr>
        <w:t xml:space="preserve"> </w:t>
      </w:r>
      <w:r w:rsidR="003D1EEC">
        <w:t xml:space="preserve">z. </w:t>
      </w:r>
      <w:r w:rsidR="003D1EEC">
        <w:rPr>
          <w:b/>
          <w:spacing w:val="-2"/>
        </w:rPr>
        <w:t>splnená.</w:t>
      </w:r>
    </w:p>
    <w:p w14:paraId="4CB6A2FD" w14:textId="1597A3D2" w:rsidR="002C33C5" w:rsidRDefault="002C33C5" w:rsidP="003D1EEC">
      <w:pPr>
        <w:pStyle w:val="Zkladntext"/>
        <w:ind w:left="121"/>
        <w:rPr>
          <w:b/>
          <w:spacing w:val="-2"/>
        </w:rPr>
      </w:pPr>
    </w:p>
    <w:p w14:paraId="15923DC2" w14:textId="13193A5D" w:rsidR="002C33C5" w:rsidRPr="002C33C5" w:rsidRDefault="002C33C5" w:rsidP="002C33C5">
      <w:pPr>
        <w:pStyle w:val="Nadpis2"/>
        <w:ind w:right="510"/>
        <w:rPr>
          <w:b w:val="0"/>
        </w:rPr>
      </w:pPr>
      <w:r w:rsidRPr="002C33C5">
        <w:rPr>
          <w:b w:val="0"/>
        </w:rPr>
        <w:t xml:space="preserve">   </w:t>
      </w:r>
      <w:r>
        <w:rPr>
          <w:b w:val="0"/>
        </w:rPr>
        <w:t xml:space="preserve">      </w:t>
      </w:r>
      <w:r w:rsidRPr="002C33C5">
        <w:rPr>
          <w:b w:val="0"/>
        </w:rPr>
        <w:t xml:space="preserve"> Ak celková suma dlhu dosiahne už 50 %, je síce zákonná, ale je potrebné prijímať  opatrenia a</w:t>
      </w:r>
      <w:r>
        <w:rPr>
          <w:b w:val="0"/>
        </w:rPr>
        <w:t xml:space="preserve"> </w:t>
      </w:r>
      <w:r w:rsidRPr="002C33C5">
        <w:rPr>
          <w:b w:val="0"/>
        </w:rPr>
        <w:t xml:space="preserve">hlásiť MF SR v zmysle zákonných ustanovení.  Ukazovateľ dlhovej rezervy k 30. 6. 2024  </w:t>
      </w:r>
      <w:r w:rsidR="00604902">
        <w:rPr>
          <w:b w:val="0"/>
        </w:rPr>
        <w:t>bez započítania plánovaného úveru</w:t>
      </w:r>
      <w:r w:rsidRPr="002C33C5">
        <w:rPr>
          <w:b w:val="0"/>
        </w:rPr>
        <w:t xml:space="preserve"> </w:t>
      </w:r>
      <w:r w:rsidR="008050DC">
        <w:rPr>
          <w:b w:val="0"/>
        </w:rPr>
        <w:t xml:space="preserve">  </w:t>
      </w:r>
      <w:r w:rsidRPr="002C33C5">
        <w:rPr>
          <w:b w:val="0"/>
        </w:rPr>
        <w:t>(50 % skutočných bežných príjmov 2023 po odpočítaní  stavu</w:t>
      </w:r>
      <w:r w:rsidR="00604902">
        <w:rPr>
          <w:b w:val="0"/>
        </w:rPr>
        <w:t xml:space="preserve"> súčasných</w:t>
      </w:r>
      <w:r w:rsidRPr="002C33C5">
        <w:rPr>
          <w:b w:val="0"/>
        </w:rPr>
        <w:t xml:space="preserve"> úverov)   je  </w:t>
      </w:r>
      <w:r w:rsidR="007C2D9B">
        <w:rPr>
          <w:b w:val="0"/>
        </w:rPr>
        <w:t>3 109 420,90</w:t>
      </w:r>
      <w:r w:rsidRPr="002C33C5">
        <w:rPr>
          <w:b w:val="0"/>
        </w:rPr>
        <w:t xml:space="preserve">  eur</w:t>
      </w:r>
      <w:r w:rsidR="008050DC">
        <w:rPr>
          <w:b w:val="0"/>
        </w:rPr>
        <w:t>.</w:t>
      </w:r>
    </w:p>
    <w:p w14:paraId="42FCE874" w14:textId="56A55944" w:rsidR="002C33C5" w:rsidRPr="002C33C5" w:rsidRDefault="002C33C5" w:rsidP="002C33C5">
      <w:pPr>
        <w:pStyle w:val="Zkladntext"/>
        <w:ind w:left="121"/>
        <w:rPr>
          <w:bCs/>
        </w:rPr>
      </w:pPr>
    </w:p>
    <w:p w14:paraId="7B6E8ADF" w14:textId="50771E35" w:rsidR="002C33C5" w:rsidRPr="002C33C5" w:rsidRDefault="002C33C5" w:rsidP="008050DC">
      <w:pPr>
        <w:pStyle w:val="Zkladntext"/>
        <w:ind w:left="121"/>
        <w:rPr>
          <w:bCs/>
        </w:rPr>
      </w:pPr>
      <w:r w:rsidRPr="002C33C5">
        <w:rPr>
          <w:bCs/>
        </w:rPr>
        <w:t xml:space="preserve">     Pre </w:t>
      </w:r>
      <w:r w:rsidR="008050DC">
        <w:rPr>
          <w:bCs/>
        </w:rPr>
        <w:t xml:space="preserve">  </w:t>
      </w:r>
      <w:r w:rsidRPr="002C33C5">
        <w:rPr>
          <w:bCs/>
        </w:rPr>
        <w:t xml:space="preserve">informáciu </w:t>
      </w:r>
      <w:r w:rsidR="008050DC">
        <w:rPr>
          <w:bCs/>
        </w:rPr>
        <w:t xml:space="preserve">   </w:t>
      </w:r>
      <w:r w:rsidRPr="002C33C5">
        <w:rPr>
          <w:bCs/>
        </w:rPr>
        <w:t xml:space="preserve">uvádzam </w:t>
      </w:r>
      <w:r w:rsidR="008050DC">
        <w:rPr>
          <w:bCs/>
        </w:rPr>
        <w:t xml:space="preserve">  </w:t>
      </w:r>
      <w:r w:rsidRPr="002C33C5">
        <w:rPr>
          <w:bCs/>
        </w:rPr>
        <w:t xml:space="preserve">podiel sumy zostatku úverov k 30. </w:t>
      </w:r>
      <w:r w:rsidR="00604902">
        <w:rPr>
          <w:bCs/>
        </w:rPr>
        <w:t>6</w:t>
      </w:r>
      <w:r w:rsidRPr="002C33C5">
        <w:rPr>
          <w:bCs/>
        </w:rPr>
        <w:t>. 202</w:t>
      </w:r>
      <w:r w:rsidR="008050DC">
        <w:rPr>
          <w:bCs/>
        </w:rPr>
        <w:t>4</w:t>
      </w:r>
      <w:r w:rsidRPr="002C33C5">
        <w:rPr>
          <w:bCs/>
        </w:rPr>
        <w:t xml:space="preserve"> (bez úrokov a bez dlhu  ŠFRB)  k </w:t>
      </w:r>
      <w:r w:rsidR="008050DC">
        <w:rPr>
          <w:bCs/>
        </w:rPr>
        <w:t xml:space="preserve">  </w:t>
      </w:r>
      <w:r w:rsidRPr="002C33C5">
        <w:rPr>
          <w:bCs/>
        </w:rPr>
        <w:t xml:space="preserve">bežným </w:t>
      </w:r>
      <w:r w:rsidR="008050DC">
        <w:rPr>
          <w:bCs/>
        </w:rPr>
        <w:t xml:space="preserve">  </w:t>
      </w:r>
      <w:r w:rsidRPr="002C33C5">
        <w:rPr>
          <w:bCs/>
        </w:rPr>
        <w:t xml:space="preserve">príjmom </w:t>
      </w:r>
      <w:r w:rsidR="008050DC">
        <w:rPr>
          <w:bCs/>
        </w:rPr>
        <w:t xml:space="preserve"> </w:t>
      </w:r>
      <w:r w:rsidRPr="002C33C5">
        <w:rPr>
          <w:bCs/>
        </w:rPr>
        <w:t xml:space="preserve">mesta upraveným  o príjmy účelovo viazané (dotácie na školstvo, na prenesený výkon štátnej správy, dotácie z eurofondov), ktoré v skutočnosti mesto nemôže použiť na splácanie úverov. V takom prípade je toto percento vo výške </w:t>
      </w:r>
      <w:r w:rsidR="008050DC">
        <w:rPr>
          <w:bCs/>
        </w:rPr>
        <w:t xml:space="preserve">  53,09</w:t>
      </w:r>
      <w:r w:rsidRPr="002C33C5">
        <w:rPr>
          <w:bCs/>
        </w:rPr>
        <w:t xml:space="preserve"> %. </w:t>
      </w:r>
    </w:p>
    <w:p w14:paraId="7EDFB0BB" w14:textId="77777777" w:rsidR="002C33C5" w:rsidRPr="002C33C5" w:rsidRDefault="002C33C5" w:rsidP="003D1EEC">
      <w:pPr>
        <w:pStyle w:val="Zkladntext"/>
        <w:ind w:left="121"/>
      </w:pPr>
    </w:p>
    <w:p w14:paraId="0C977309" w14:textId="77777777" w:rsidR="003D1EEC" w:rsidRDefault="003D1EEC" w:rsidP="003D1EEC">
      <w:pPr>
        <w:pStyle w:val="Zkladntext"/>
        <w:rPr>
          <w:b/>
          <w:sz w:val="20"/>
        </w:rPr>
      </w:pPr>
    </w:p>
    <w:p w14:paraId="2924D954" w14:textId="77777777" w:rsidR="003D1EEC" w:rsidRDefault="003D1EEC" w:rsidP="003D1EEC">
      <w:pPr>
        <w:pStyle w:val="Zkladntext"/>
        <w:spacing w:before="9"/>
        <w:rPr>
          <w:b/>
          <w:sz w:val="27"/>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3118"/>
        <w:gridCol w:w="2901"/>
      </w:tblGrid>
      <w:tr w:rsidR="003D1EEC" w14:paraId="35C5B39F" w14:textId="77777777" w:rsidTr="00204E5B">
        <w:trPr>
          <w:trHeight w:val="595"/>
        </w:trPr>
        <w:tc>
          <w:tcPr>
            <w:tcW w:w="3682" w:type="dxa"/>
          </w:tcPr>
          <w:p w14:paraId="05B23E6D" w14:textId="44EA7E04" w:rsidR="003D1EEC" w:rsidRDefault="003D1EEC" w:rsidP="00204E5B">
            <w:pPr>
              <w:pStyle w:val="TableParagraph"/>
              <w:spacing w:before="39"/>
              <w:ind w:left="119" w:right="51" w:firstLine="333"/>
            </w:pPr>
            <w:r>
              <w:t>Predpokladané ročné splátky vrátane</w:t>
            </w:r>
            <w:r>
              <w:rPr>
                <w:spacing w:val="-8"/>
              </w:rPr>
              <w:t xml:space="preserve"> </w:t>
            </w:r>
            <w:r>
              <w:t>úhrady</w:t>
            </w:r>
            <w:r>
              <w:rPr>
                <w:spacing w:val="-9"/>
              </w:rPr>
              <w:t xml:space="preserve"> </w:t>
            </w:r>
            <w:r>
              <w:t>výnosov</w:t>
            </w:r>
            <w:r>
              <w:rPr>
                <w:spacing w:val="-8"/>
              </w:rPr>
              <w:t xml:space="preserve"> </w:t>
            </w:r>
            <w:r>
              <w:t>za</w:t>
            </w:r>
            <w:r>
              <w:rPr>
                <w:spacing w:val="-4"/>
              </w:rPr>
              <w:t xml:space="preserve"> </w:t>
            </w:r>
            <w:r>
              <w:t>rok</w:t>
            </w:r>
            <w:r>
              <w:rPr>
                <w:spacing w:val="-9"/>
              </w:rPr>
              <w:t xml:space="preserve"> </w:t>
            </w:r>
            <w:r>
              <w:t>202</w:t>
            </w:r>
            <w:r w:rsidR="00F4600D">
              <w:t>4</w:t>
            </w:r>
          </w:p>
        </w:tc>
        <w:tc>
          <w:tcPr>
            <w:tcW w:w="3118" w:type="dxa"/>
          </w:tcPr>
          <w:p w14:paraId="2211A1B2" w14:textId="4C5A3D73" w:rsidR="003D1EEC" w:rsidRDefault="003D1EEC" w:rsidP="00204E5B">
            <w:pPr>
              <w:pStyle w:val="TableParagraph"/>
              <w:spacing w:before="39"/>
              <w:ind w:left="542" w:right="591" w:hanging="173"/>
            </w:pPr>
            <w:r>
              <w:t>Skutočné</w:t>
            </w:r>
            <w:r>
              <w:rPr>
                <w:spacing w:val="-14"/>
              </w:rPr>
              <w:t xml:space="preserve"> </w:t>
            </w:r>
            <w:r>
              <w:rPr>
                <w:b/>
                <w:u w:val="single"/>
              </w:rPr>
              <w:t>znížené</w:t>
            </w:r>
            <w:r>
              <w:rPr>
                <w:b/>
                <w:spacing w:val="-14"/>
              </w:rPr>
              <w:t xml:space="preserve"> </w:t>
            </w:r>
            <w:r>
              <w:t>bežné príjmy k 31.12.202</w:t>
            </w:r>
            <w:r w:rsidR="00F4600D">
              <w:t>3</w:t>
            </w:r>
          </w:p>
        </w:tc>
        <w:tc>
          <w:tcPr>
            <w:tcW w:w="2901" w:type="dxa"/>
          </w:tcPr>
          <w:p w14:paraId="1974ED70" w14:textId="77777777" w:rsidR="003D1EEC" w:rsidRDefault="003D1EEC" w:rsidP="00204E5B">
            <w:pPr>
              <w:pStyle w:val="TableParagraph"/>
              <w:spacing w:before="164"/>
              <w:ind w:left="476" w:right="696"/>
              <w:jc w:val="center"/>
              <w:rPr>
                <w:b/>
              </w:rPr>
            </w:pPr>
            <w:r>
              <w:t>§</w:t>
            </w:r>
            <w:r>
              <w:rPr>
                <w:spacing w:val="-5"/>
              </w:rPr>
              <w:t xml:space="preserve"> </w:t>
            </w:r>
            <w:r>
              <w:t>17</w:t>
            </w:r>
            <w:r>
              <w:rPr>
                <w:spacing w:val="-2"/>
              </w:rPr>
              <w:t xml:space="preserve"> </w:t>
            </w:r>
            <w:r>
              <w:t>ods.6</w:t>
            </w:r>
            <w:r>
              <w:rPr>
                <w:spacing w:val="-2"/>
              </w:rPr>
              <w:t xml:space="preserve"> </w:t>
            </w:r>
            <w:r>
              <w:t>písm.</w:t>
            </w:r>
            <w:r>
              <w:rPr>
                <w:spacing w:val="-2"/>
              </w:rPr>
              <w:t xml:space="preserve"> </w:t>
            </w:r>
            <w:r>
              <w:rPr>
                <w:b/>
                <w:spacing w:val="-5"/>
              </w:rPr>
              <w:t>b)</w:t>
            </w:r>
          </w:p>
        </w:tc>
      </w:tr>
      <w:tr w:rsidR="003D1EEC" w14:paraId="6D702C6D" w14:textId="77777777" w:rsidTr="00204E5B">
        <w:trPr>
          <w:trHeight w:val="426"/>
        </w:trPr>
        <w:tc>
          <w:tcPr>
            <w:tcW w:w="3682" w:type="dxa"/>
          </w:tcPr>
          <w:p w14:paraId="7C88B95B" w14:textId="7BC72C80" w:rsidR="003D1EEC" w:rsidRDefault="00F611A4" w:rsidP="00F611A4">
            <w:pPr>
              <w:pStyle w:val="TableParagraph"/>
              <w:numPr>
                <w:ilvl w:val="0"/>
                <w:numId w:val="7"/>
              </w:numPr>
              <w:spacing w:before="66"/>
              <w:rPr>
                <w:sz w:val="24"/>
              </w:rPr>
            </w:pPr>
            <w:bookmarkStart w:id="2" w:name="_Hlk173231741"/>
            <w:r>
              <w:rPr>
                <w:sz w:val="24"/>
              </w:rPr>
              <w:t>variant</w:t>
            </w:r>
            <w:r w:rsidR="000205FA">
              <w:rPr>
                <w:sz w:val="24"/>
              </w:rPr>
              <w:t xml:space="preserve">        526 087,17 eur</w:t>
            </w:r>
          </w:p>
        </w:tc>
        <w:tc>
          <w:tcPr>
            <w:tcW w:w="3118" w:type="dxa"/>
          </w:tcPr>
          <w:p w14:paraId="243BD172" w14:textId="0B5A3D6A" w:rsidR="003D1EEC" w:rsidRDefault="00F4600D" w:rsidP="00204E5B">
            <w:pPr>
              <w:pStyle w:val="TableParagraph"/>
              <w:spacing w:before="66"/>
              <w:ind w:left="720"/>
              <w:rPr>
                <w:sz w:val="24"/>
              </w:rPr>
            </w:pPr>
            <w:r>
              <w:rPr>
                <w:sz w:val="24"/>
                <w:szCs w:val="24"/>
              </w:rPr>
              <w:t>5 463 821,12</w:t>
            </w:r>
            <w:r w:rsidR="008050DC">
              <w:rPr>
                <w:sz w:val="24"/>
                <w:szCs w:val="24"/>
              </w:rPr>
              <w:t xml:space="preserve"> eur</w:t>
            </w:r>
          </w:p>
        </w:tc>
        <w:tc>
          <w:tcPr>
            <w:tcW w:w="2901" w:type="dxa"/>
          </w:tcPr>
          <w:p w14:paraId="25DEBFC8" w14:textId="15D1A74C" w:rsidR="003D1EEC" w:rsidRDefault="000205FA" w:rsidP="00204E5B">
            <w:pPr>
              <w:pStyle w:val="TableParagraph"/>
              <w:spacing w:before="50"/>
              <w:ind w:left="476" w:right="694"/>
              <w:jc w:val="center"/>
              <w:rPr>
                <w:sz w:val="24"/>
              </w:rPr>
            </w:pPr>
            <w:r>
              <w:rPr>
                <w:b/>
                <w:spacing w:val="2"/>
                <w:sz w:val="24"/>
              </w:rPr>
              <w:t>9,63</w:t>
            </w:r>
            <w:r w:rsidR="003D1EEC">
              <w:rPr>
                <w:b/>
                <w:spacing w:val="2"/>
                <w:sz w:val="24"/>
              </w:rPr>
              <w:t xml:space="preserve"> </w:t>
            </w:r>
            <w:r w:rsidR="003D1EEC">
              <w:rPr>
                <w:rFonts w:ascii="Segoe UI"/>
                <w:sz w:val="24"/>
              </w:rPr>
              <w:t>&lt;</w:t>
            </w:r>
            <w:r w:rsidR="003D1EEC">
              <w:rPr>
                <w:rFonts w:ascii="Segoe UI"/>
                <w:spacing w:val="-2"/>
                <w:sz w:val="24"/>
              </w:rPr>
              <w:t xml:space="preserve"> </w:t>
            </w:r>
            <w:r w:rsidR="003D1EEC">
              <w:rPr>
                <w:spacing w:val="-5"/>
                <w:sz w:val="24"/>
              </w:rPr>
              <w:t>25%</w:t>
            </w:r>
          </w:p>
        </w:tc>
      </w:tr>
      <w:bookmarkEnd w:id="2"/>
      <w:tr w:rsidR="00F611A4" w14:paraId="3BA40A8B" w14:textId="77777777" w:rsidTr="00204E5B">
        <w:trPr>
          <w:trHeight w:val="426"/>
        </w:trPr>
        <w:tc>
          <w:tcPr>
            <w:tcW w:w="3682" w:type="dxa"/>
          </w:tcPr>
          <w:p w14:paraId="392B9D3F" w14:textId="21F43D13" w:rsidR="00F611A4" w:rsidRDefault="00F611A4" w:rsidP="00F611A4">
            <w:pPr>
              <w:pStyle w:val="TableParagraph"/>
              <w:numPr>
                <w:ilvl w:val="0"/>
                <w:numId w:val="7"/>
              </w:numPr>
              <w:spacing w:before="66"/>
              <w:rPr>
                <w:sz w:val="24"/>
              </w:rPr>
            </w:pPr>
            <w:r>
              <w:rPr>
                <w:sz w:val="24"/>
              </w:rPr>
              <w:t>variant        5</w:t>
            </w:r>
            <w:r>
              <w:rPr>
                <w:sz w:val="24"/>
              </w:rPr>
              <w:t>30 774,67</w:t>
            </w:r>
            <w:r>
              <w:rPr>
                <w:sz w:val="24"/>
              </w:rPr>
              <w:t xml:space="preserve"> eur</w:t>
            </w:r>
          </w:p>
        </w:tc>
        <w:tc>
          <w:tcPr>
            <w:tcW w:w="3118" w:type="dxa"/>
          </w:tcPr>
          <w:p w14:paraId="593C3AA0" w14:textId="408C5D6C" w:rsidR="00F611A4" w:rsidRDefault="00F611A4" w:rsidP="00F611A4">
            <w:pPr>
              <w:pStyle w:val="TableParagraph"/>
              <w:spacing w:before="66"/>
              <w:ind w:left="720"/>
              <w:rPr>
                <w:sz w:val="24"/>
                <w:szCs w:val="24"/>
              </w:rPr>
            </w:pPr>
            <w:r>
              <w:rPr>
                <w:sz w:val="24"/>
                <w:szCs w:val="24"/>
              </w:rPr>
              <w:t>5 463 821,12 eur</w:t>
            </w:r>
          </w:p>
        </w:tc>
        <w:tc>
          <w:tcPr>
            <w:tcW w:w="2901" w:type="dxa"/>
          </w:tcPr>
          <w:p w14:paraId="76A1E390" w14:textId="40F01431" w:rsidR="00F611A4" w:rsidRDefault="00F611A4" w:rsidP="00F611A4">
            <w:pPr>
              <w:pStyle w:val="TableParagraph"/>
              <w:spacing w:before="50"/>
              <w:ind w:left="476" w:right="694"/>
              <w:jc w:val="center"/>
              <w:rPr>
                <w:b/>
                <w:spacing w:val="2"/>
                <w:sz w:val="24"/>
              </w:rPr>
            </w:pPr>
            <w:r>
              <w:rPr>
                <w:b/>
                <w:spacing w:val="2"/>
                <w:sz w:val="24"/>
              </w:rPr>
              <w:t>9,</w:t>
            </w:r>
            <w:r>
              <w:rPr>
                <w:b/>
                <w:spacing w:val="2"/>
                <w:sz w:val="24"/>
              </w:rPr>
              <w:t>71</w:t>
            </w:r>
            <w:r>
              <w:rPr>
                <w:b/>
                <w:spacing w:val="2"/>
                <w:sz w:val="24"/>
              </w:rPr>
              <w:t xml:space="preserve"> </w:t>
            </w:r>
            <w:r>
              <w:rPr>
                <w:rFonts w:ascii="Segoe UI"/>
                <w:sz w:val="24"/>
              </w:rPr>
              <w:t>&lt;</w:t>
            </w:r>
            <w:r>
              <w:rPr>
                <w:rFonts w:ascii="Segoe UI"/>
                <w:spacing w:val="-2"/>
                <w:sz w:val="24"/>
              </w:rPr>
              <w:t xml:space="preserve"> </w:t>
            </w:r>
            <w:r>
              <w:rPr>
                <w:spacing w:val="-5"/>
                <w:sz w:val="24"/>
              </w:rPr>
              <w:t>25%</w:t>
            </w:r>
          </w:p>
        </w:tc>
      </w:tr>
    </w:tbl>
    <w:p w14:paraId="021CF6C5" w14:textId="77777777" w:rsidR="00B9103C" w:rsidRDefault="00B9103C" w:rsidP="003D1EEC">
      <w:pPr>
        <w:pStyle w:val="Zkladntext"/>
        <w:spacing w:line="269" w:lineRule="exact"/>
        <w:ind w:left="121"/>
        <w:jc w:val="both"/>
      </w:pPr>
    </w:p>
    <w:p w14:paraId="03654A76" w14:textId="5C2EFBA6" w:rsidR="003D1EEC" w:rsidRDefault="00B9103C" w:rsidP="003D1EEC">
      <w:pPr>
        <w:pStyle w:val="Zkladntext"/>
        <w:spacing w:line="269" w:lineRule="exact"/>
        <w:ind w:left="121"/>
        <w:jc w:val="both"/>
        <w:rPr>
          <w:spacing w:val="-2"/>
        </w:rPr>
      </w:pPr>
      <w:r>
        <w:t xml:space="preserve">     </w:t>
      </w:r>
      <w:r w:rsidR="003D1EEC">
        <w:t>Zákonná</w:t>
      </w:r>
      <w:r w:rsidR="003D1EEC">
        <w:rPr>
          <w:spacing w:val="-4"/>
        </w:rPr>
        <w:t xml:space="preserve"> </w:t>
      </w:r>
      <w:r w:rsidR="003D1EEC">
        <w:t>podmienka</w:t>
      </w:r>
      <w:r w:rsidR="003D1EEC">
        <w:rPr>
          <w:spacing w:val="-2"/>
        </w:rPr>
        <w:t xml:space="preserve"> </w:t>
      </w:r>
      <w:r w:rsidR="003D1EEC">
        <w:t>podľa</w:t>
      </w:r>
      <w:r w:rsidR="003D1EEC">
        <w:rPr>
          <w:spacing w:val="-1"/>
        </w:rPr>
        <w:t xml:space="preserve"> </w:t>
      </w:r>
      <w:r w:rsidR="003D1EEC">
        <w:t>§</w:t>
      </w:r>
      <w:r w:rsidR="003D1EEC">
        <w:rPr>
          <w:spacing w:val="-1"/>
        </w:rPr>
        <w:t xml:space="preserve"> </w:t>
      </w:r>
      <w:r w:rsidR="003D1EEC">
        <w:t>17 ods.6</w:t>
      </w:r>
      <w:r w:rsidR="003D1EEC">
        <w:rPr>
          <w:spacing w:val="-1"/>
        </w:rPr>
        <w:t xml:space="preserve"> </w:t>
      </w:r>
      <w:r w:rsidR="003D1EEC">
        <w:t>písm.</w:t>
      </w:r>
      <w:r w:rsidR="003D1EEC">
        <w:rPr>
          <w:spacing w:val="-2"/>
        </w:rPr>
        <w:t xml:space="preserve"> </w:t>
      </w:r>
      <w:r w:rsidR="003D1EEC">
        <w:t>b) zákona</w:t>
      </w:r>
      <w:r w:rsidR="003D1EEC">
        <w:rPr>
          <w:spacing w:val="-2"/>
        </w:rPr>
        <w:t xml:space="preserve"> </w:t>
      </w:r>
      <w:r w:rsidR="003D1EEC">
        <w:t>č.583/2004</w:t>
      </w:r>
      <w:r w:rsidR="003D1EEC">
        <w:rPr>
          <w:spacing w:val="2"/>
        </w:rPr>
        <w:t xml:space="preserve"> </w:t>
      </w:r>
      <w:r w:rsidR="003D1EEC">
        <w:t>Z.</w:t>
      </w:r>
      <w:r w:rsidR="003D1EEC">
        <w:rPr>
          <w:spacing w:val="2"/>
        </w:rPr>
        <w:t xml:space="preserve"> </w:t>
      </w:r>
      <w:r w:rsidR="003D1EEC">
        <w:t xml:space="preserve">z. </w:t>
      </w:r>
      <w:r w:rsidR="003D1EEC">
        <w:rPr>
          <w:b/>
          <w:spacing w:val="-2"/>
        </w:rPr>
        <w:t>splnená</w:t>
      </w:r>
      <w:r w:rsidR="003D1EEC">
        <w:rPr>
          <w:spacing w:val="-2"/>
        </w:rPr>
        <w:t>.</w:t>
      </w:r>
    </w:p>
    <w:p w14:paraId="453D3E67" w14:textId="598FC750" w:rsidR="00FE35B3" w:rsidRDefault="00FE35B3" w:rsidP="003D1EEC">
      <w:pPr>
        <w:pStyle w:val="Zkladntext"/>
        <w:spacing w:line="269" w:lineRule="exact"/>
        <w:ind w:left="121"/>
        <w:jc w:val="both"/>
      </w:pPr>
    </w:p>
    <w:p w14:paraId="7BDE365B" w14:textId="343517D8" w:rsidR="00FE35B3" w:rsidRDefault="00B9103C" w:rsidP="00B9103C">
      <w:pPr>
        <w:adjustRightInd w:val="0"/>
      </w:pPr>
      <w:r>
        <w:rPr>
          <w:bCs/>
          <w:color w:val="000000"/>
          <w:sz w:val="24"/>
          <w:szCs w:val="24"/>
        </w:rPr>
        <w:t xml:space="preserve">       </w:t>
      </w:r>
      <w:r w:rsidRPr="00CF403C">
        <w:rPr>
          <w:bCs/>
          <w:color w:val="000000"/>
          <w:sz w:val="24"/>
          <w:szCs w:val="24"/>
        </w:rPr>
        <w:t>Ukazovateľ splátkovej rezervy</w:t>
      </w:r>
      <w:r>
        <w:rPr>
          <w:bCs/>
          <w:color w:val="000000"/>
          <w:sz w:val="24"/>
          <w:szCs w:val="24"/>
        </w:rPr>
        <w:t xml:space="preserve"> k 30. </w:t>
      </w:r>
      <w:r>
        <w:rPr>
          <w:bCs/>
          <w:color w:val="000000"/>
          <w:sz w:val="24"/>
          <w:szCs w:val="24"/>
        </w:rPr>
        <w:t>6</w:t>
      </w:r>
      <w:r>
        <w:rPr>
          <w:bCs/>
          <w:color w:val="000000"/>
          <w:sz w:val="24"/>
          <w:szCs w:val="24"/>
        </w:rPr>
        <w:t>. 202</w:t>
      </w:r>
      <w:r>
        <w:rPr>
          <w:bCs/>
          <w:color w:val="000000"/>
          <w:sz w:val="24"/>
          <w:szCs w:val="24"/>
        </w:rPr>
        <w:t xml:space="preserve">4 bez započítania plánovaného úveru je </w:t>
      </w:r>
      <w:r w:rsidR="000D6104">
        <w:rPr>
          <w:bCs/>
          <w:color w:val="000000"/>
          <w:sz w:val="24"/>
          <w:szCs w:val="24"/>
        </w:rPr>
        <w:t>921 055,61 eur.</w:t>
      </w:r>
    </w:p>
    <w:p w14:paraId="150D2961" w14:textId="38DC6BB0" w:rsidR="00AB179C" w:rsidRDefault="00FE35B3" w:rsidP="000D6104">
      <w:pPr>
        <w:pStyle w:val="Zkladntext"/>
        <w:spacing w:line="269" w:lineRule="exact"/>
        <w:ind w:left="121"/>
        <w:jc w:val="both"/>
      </w:pPr>
      <w:r>
        <w:t xml:space="preserve">  </w:t>
      </w:r>
      <w:r w:rsidR="000205FA">
        <w:t xml:space="preserve">    </w:t>
      </w:r>
    </w:p>
    <w:p w14:paraId="7B1C0E22" w14:textId="7E572E53" w:rsidR="00130D55" w:rsidRDefault="00130D55" w:rsidP="000D6104">
      <w:pPr>
        <w:pStyle w:val="Zkladntext"/>
        <w:spacing w:line="269" w:lineRule="exact"/>
        <w:ind w:left="121"/>
        <w:jc w:val="both"/>
      </w:pPr>
    </w:p>
    <w:p w14:paraId="56C2A1CE" w14:textId="77777777" w:rsidR="00AB179C" w:rsidRDefault="00AB179C" w:rsidP="003D1EEC">
      <w:pPr>
        <w:pStyle w:val="Zkladntext"/>
        <w:spacing w:before="4"/>
      </w:pPr>
    </w:p>
    <w:p w14:paraId="1FC7766B" w14:textId="23D7004A" w:rsidR="003D1EEC" w:rsidRDefault="003D1EEC" w:rsidP="00912DA6">
      <w:pPr>
        <w:pStyle w:val="Nadpis2"/>
        <w:tabs>
          <w:tab w:val="left" w:pos="362"/>
        </w:tabs>
        <w:spacing w:before="1"/>
        <w:rPr>
          <w:spacing w:val="-2"/>
        </w:rPr>
      </w:pPr>
      <w:r>
        <w:t>Záverečné</w:t>
      </w:r>
      <w:r>
        <w:rPr>
          <w:spacing w:val="-5"/>
        </w:rPr>
        <w:t xml:space="preserve"> </w:t>
      </w:r>
      <w:r>
        <w:rPr>
          <w:spacing w:val="-2"/>
        </w:rPr>
        <w:t>stanovisko</w:t>
      </w:r>
    </w:p>
    <w:p w14:paraId="0A32E57C" w14:textId="35396BF6" w:rsidR="000A3905" w:rsidRDefault="000A3905" w:rsidP="00912DA6">
      <w:pPr>
        <w:pStyle w:val="Nadpis2"/>
        <w:tabs>
          <w:tab w:val="left" w:pos="362"/>
        </w:tabs>
        <w:spacing w:before="1"/>
      </w:pPr>
    </w:p>
    <w:p w14:paraId="76EF9AB3" w14:textId="610EB92A" w:rsidR="000A3905" w:rsidRDefault="000A3905" w:rsidP="00912DA6">
      <w:pPr>
        <w:pStyle w:val="Nadpis2"/>
        <w:tabs>
          <w:tab w:val="left" w:pos="362"/>
        </w:tabs>
        <w:spacing w:before="1"/>
      </w:pPr>
    </w:p>
    <w:p w14:paraId="4AEAE807" w14:textId="1CC5B2C5" w:rsidR="000A3905" w:rsidRDefault="000A3905" w:rsidP="000A3905">
      <w:pPr>
        <w:pStyle w:val="Nadpis2"/>
        <w:ind w:left="121" w:right="510" w:firstLine="0"/>
        <w:rPr>
          <w:b w:val="0"/>
        </w:rPr>
      </w:pPr>
      <w:r>
        <w:rPr>
          <w:b w:val="0"/>
        </w:rPr>
        <w:t xml:space="preserve">     </w:t>
      </w:r>
      <w:r w:rsidRPr="000A3905">
        <w:rPr>
          <w:b w:val="0"/>
        </w:rPr>
        <w:t>Hlavný kontrolór v súlade so zákonom č. 583/2004 Z. z. preveruje iba dodržanie podmienok na prijatie návratných zdrojov financovania. V tomto stanovisku neskúmam potrebu úveru, objem, predpokladaný vývoj bežných príjmov, rentabilitu, charakter investičných akcií, ich rozpočtový náklad, návratnosť a pod.</w:t>
      </w:r>
    </w:p>
    <w:p w14:paraId="676803B5" w14:textId="77777777" w:rsidR="00130D55" w:rsidRDefault="00130D55" w:rsidP="000A3905">
      <w:pPr>
        <w:pStyle w:val="Nadpis2"/>
        <w:ind w:left="121" w:right="510" w:firstLine="0"/>
        <w:rPr>
          <w:b w:val="0"/>
        </w:rPr>
      </w:pPr>
    </w:p>
    <w:p w14:paraId="3AB491CE" w14:textId="77777777" w:rsidR="002C33C5" w:rsidRPr="002C33C5" w:rsidRDefault="002C33C5" w:rsidP="002C33C5">
      <w:pPr>
        <w:pStyle w:val="Nadpis2"/>
        <w:ind w:right="510"/>
      </w:pPr>
      <w:r w:rsidRPr="002C33C5">
        <w:t xml:space="preserve">    </w:t>
      </w:r>
    </w:p>
    <w:p w14:paraId="7BCF7019" w14:textId="252647D7" w:rsidR="003D1EEC" w:rsidRDefault="000205FA" w:rsidP="003D1EEC">
      <w:pPr>
        <w:pStyle w:val="Zkladntext"/>
        <w:ind w:left="121" w:right="508"/>
        <w:jc w:val="both"/>
      </w:pPr>
      <w:r>
        <w:lastRenderedPageBreak/>
        <w:t xml:space="preserve">     </w:t>
      </w:r>
      <w:r w:rsidR="003D1EEC">
        <w:t>Po</w:t>
      </w:r>
      <w:r w:rsidR="003D1EEC">
        <w:rPr>
          <w:spacing w:val="-4"/>
        </w:rPr>
        <w:t xml:space="preserve"> </w:t>
      </w:r>
      <w:r w:rsidR="003D1EEC">
        <w:t>preverení</w:t>
      </w:r>
      <w:r w:rsidR="003D1EEC">
        <w:rPr>
          <w:spacing w:val="-3"/>
        </w:rPr>
        <w:t xml:space="preserve"> </w:t>
      </w:r>
      <w:r w:rsidR="003D1EEC">
        <w:t>podmienok</w:t>
      </w:r>
      <w:r w:rsidR="003D1EEC">
        <w:rPr>
          <w:spacing w:val="-1"/>
        </w:rPr>
        <w:t xml:space="preserve"> </w:t>
      </w:r>
      <w:r w:rsidR="003D1EEC">
        <w:t>na</w:t>
      </w:r>
      <w:r w:rsidR="003D1EEC">
        <w:rPr>
          <w:spacing w:val="-5"/>
        </w:rPr>
        <w:t xml:space="preserve"> </w:t>
      </w:r>
      <w:r w:rsidR="003D1EEC">
        <w:t>prijatie</w:t>
      </w:r>
      <w:r w:rsidR="003D1EEC">
        <w:rPr>
          <w:spacing w:val="-5"/>
        </w:rPr>
        <w:t xml:space="preserve"> </w:t>
      </w:r>
      <w:r w:rsidR="003D1EEC">
        <w:t>návratných</w:t>
      </w:r>
      <w:r w:rsidR="003D1EEC">
        <w:rPr>
          <w:spacing w:val="-4"/>
        </w:rPr>
        <w:t xml:space="preserve"> </w:t>
      </w:r>
      <w:r w:rsidR="003D1EEC">
        <w:t>zdrojov</w:t>
      </w:r>
      <w:r w:rsidR="003D1EEC">
        <w:rPr>
          <w:spacing w:val="-3"/>
        </w:rPr>
        <w:t xml:space="preserve"> </w:t>
      </w:r>
      <w:r w:rsidR="003D1EEC">
        <w:t>financovania</w:t>
      </w:r>
      <w:r w:rsidR="003D1EEC">
        <w:rPr>
          <w:spacing w:val="-5"/>
        </w:rPr>
        <w:t xml:space="preserve"> </w:t>
      </w:r>
      <w:r w:rsidR="003D1EEC">
        <w:t>podľa</w:t>
      </w:r>
      <w:r w:rsidR="003D1EEC">
        <w:rPr>
          <w:spacing w:val="-2"/>
        </w:rPr>
        <w:t xml:space="preserve"> </w:t>
      </w:r>
      <w:r w:rsidR="003D1EEC">
        <w:t>ust</w:t>
      </w:r>
      <w:r w:rsidR="00130D55">
        <w:t>anovenia</w:t>
      </w:r>
      <w:r w:rsidR="003D1EEC">
        <w:rPr>
          <w:spacing w:val="-4"/>
        </w:rPr>
        <w:t xml:space="preserve"> </w:t>
      </w:r>
      <w:r w:rsidR="003D1EEC">
        <w:t>§</w:t>
      </w:r>
      <w:r w:rsidR="003D1EEC">
        <w:rPr>
          <w:spacing w:val="-4"/>
        </w:rPr>
        <w:t xml:space="preserve"> </w:t>
      </w:r>
      <w:r w:rsidR="003D1EEC">
        <w:t>17</w:t>
      </w:r>
      <w:r w:rsidR="003D1EEC">
        <w:rPr>
          <w:spacing w:val="-4"/>
        </w:rPr>
        <w:t xml:space="preserve"> </w:t>
      </w:r>
      <w:r w:rsidR="003D1EEC">
        <w:t>ods.</w:t>
      </w:r>
      <w:r w:rsidR="003D1EEC">
        <w:rPr>
          <w:spacing w:val="-4"/>
        </w:rPr>
        <w:t xml:space="preserve"> </w:t>
      </w:r>
      <w:r w:rsidR="003D1EEC">
        <w:t>6</w:t>
      </w:r>
      <w:r w:rsidR="003D1EEC">
        <w:rPr>
          <w:spacing w:val="-2"/>
        </w:rPr>
        <w:t xml:space="preserve"> </w:t>
      </w:r>
      <w:r w:rsidR="003D1EEC">
        <w:t>zákona</w:t>
      </w:r>
      <w:r w:rsidR="00130D55">
        <w:t xml:space="preserve"> č. 583/2004</w:t>
      </w:r>
      <w:r w:rsidR="00130D55">
        <w:t xml:space="preserve"> Z. z.</w:t>
      </w:r>
      <w:r w:rsidR="003D1EEC">
        <w:rPr>
          <w:spacing w:val="-8"/>
        </w:rPr>
        <w:t xml:space="preserve"> </w:t>
      </w:r>
      <w:r w:rsidR="003D1EEC">
        <w:t>konštatujem,</w:t>
      </w:r>
      <w:r w:rsidR="003D1EEC">
        <w:rPr>
          <w:spacing w:val="-4"/>
        </w:rPr>
        <w:t xml:space="preserve"> </w:t>
      </w:r>
      <w:r w:rsidR="003D1EEC">
        <w:t>že</w:t>
      </w:r>
      <w:r w:rsidR="003D1EEC">
        <w:rPr>
          <w:spacing w:val="-4"/>
        </w:rPr>
        <w:t xml:space="preserve"> </w:t>
      </w:r>
      <w:r w:rsidR="003D1EEC">
        <w:t>v</w:t>
      </w:r>
      <w:r w:rsidR="003D1EEC">
        <w:rPr>
          <w:spacing w:val="-3"/>
        </w:rPr>
        <w:t xml:space="preserve"> </w:t>
      </w:r>
      <w:r w:rsidR="003D1EEC">
        <w:t>prípade</w:t>
      </w:r>
      <w:r w:rsidR="003D1EEC">
        <w:rPr>
          <w:spacing w:val="-4"/>
        </w:rPr>
        <w:t xml:space="preserve"> </w:t>
      </w:r>
      <w:r w:rsidR="003D1EEC">
        <w:t>prijatia</w:t>
      </w:r>
      <w:r w:rsidR="003D1EEC">
        <w:rPr>
          <w:spacing w:val="-4"/>
        </w:rPr>
        <w:t xml:space="preserve"> </w:t>
      </w:r>
      <w:r w:rsidR="003D1EEC">
        <w:t>návratných</w:t>
      </w:r>
      <w:r w:rsidR="003D1EEC">
        <w:rPr>
          <w:spacing w:val="-3"/>
        </w:rPr>
        <w:t xml:space="preserve"> </w:t>
      </w:r>
      <w:r w:rsidR="003D1EEC">
        <w:t xml:space="preserve">zdrojov financovania vo výške 1 </w:t>
      </w:r>
      <w:r w:rsidR="00912DA6">
        <w:t>5</w:t>
      </w:r>
      <w:r w:rsidR="003D1EEC">
        <w:t>00</w:t>
      </w:r>
      <w:r>
        <w:t> </w:t>
      </w:r>
      <w:r w:rsidR="003D1EEC">
        <w:t>000</w:t>
      </w:r>
      <w:r>
        <w:t>,00 eur za vyššie uvedených podmienok</w:t>
      </w:r>
    </w:p>
    <w:p w14:paraId="600C7653" w14:textId="77777777" w:rsidR="003D1EEC" w:rsidRDefault="003D1EEC" w:rsidP="003D1EEC">
      <w:pPr>
        <w:pStyle w:val="Odsekzoznamu"/>
        <w:numPr>
          <w:ilvl w:val="1"/>
          <w:numId w:val="3"/>
        </w:numPr>
        <w:tabs>
          <w:tab w:val="left" w:pos="842"/>
        </w:tabs>
        <w:ind w:left="841" w:right="517"/>
        <w:rPr>
          <w:sz w:val="24"/>
        </w:rPr>
      </w:pPr>
      <w:r>
        <w:rPr>
          <w:sz w:val="24"/>
        </w:rPr>
        <w:t>celková suma dlhu mesta neprekročí 60 % skutočných bežných príjmov predchádzajúceho rozpočtového roka a</w:t>
      </w:r>
    </w:p>
    <w:p w14:paraId="5924491C" w14:textId="77777777" w:rsidR="003D1EEC" w:rsidRDefault="003D1EEC" w:rsidP="003D1EEC">
      <w:pPr>
        <w:pStyle w:val="Odsekzoznamu"/>
        <w:numPr>
          <w:ilvl w:val="1"/>
          <w:numId w:val="3"/>
        </w:numPr>
        <w:tabs>
          <w:tab w:val="left" w:pos="842"/>
        </w:tabs>
        <w:spacing w:before="1"/>
        <w:ind w:left="841" w:right="510"/>
        <w:rPr>
          <w:sz w:val="24"/>
        </w:rPr>
      </w:pPr>
      <w:r>
        <w:rPr>
          <w:sz w:val="24"/>
        </w:rPr>
        <w:t>suma predpokladaných ročných splátok návratných zdrojov financovania vrátane úhrady výnosov neprekročí 25 % skutočných znížených bežných príjmov predchádzajúceho rozpočtového roka.</w:t>
      </w:r>
    </w:p>
    <w:p w14:paraId="601593C8" w14:textId="4ED398D6" w:rsidR="003D1EEC" w:rsidRDefault="003D1EEC" w:rsidP="003D1EEC">
      <w:pPr>
        <w:pStyle w:val="Zkladntext"/>
        <w:spacing w:before="3"/>
        <w:rPr>
          <w:sz w:val="21"/>
        </w:rPr>
      </w:pPr>
    </w:p>
    <w:p w14:paraId="269B32F2" w14:textId="77777777" w:rsidR="00912DA6" w:rsidRDefault="00912DA6" w:rsidP="003D1EEC">
      <w:pPr>
        <w:pStyle w:val="Zkladntext"/>
        <w:spacing w:before="3"/>
        <w:rPr>
          <w:sz w:val="21"/>
        </w:rPr>
      </w:pPr>
    </w:p>
    <w:p w14:paraId="42B7F094" w14:textId="041EB501" w:rsidR="000A3905" w:rsidRPr="000A3905" w:rsidRDefault="000A3905" w:rsidP="000A3905">
      <w:pPr>
        <w:pStyle w:val="Nadpis2"/>
        <w:ind w:left="121" w:right="510"/>
      </w:pPr>
      <w:r>
        <w:t xml:space="preserve">         </w:t>
      </w:r>
      <w:r w:rsidRPr="000A3905">
        <w:t>Na základe údajov, ktoré som mala k dispozícii a</w:t>
      </w:r>
      <w:r w:rsidR="000205FA">
        <w:t> </w:t>
      </w:r>
      <w:r w:rsidRPr="000A3905">
        <w:t>výpočtov</w:t>
      </w:r>
      <w:r w:rsidR="000205FA">
        <w:t xml:space="preserve"> uvedených v stanovisku</w:t>
      </w:r>
      <w:r w:rsidRPr="000A3905">
        <w:t xml:space="preserve"> konštatujem, že mesto Spišská Belá spĺňa obe podmienky podľa § 17 zákona č. 583/2004 Z. z. pre prijatie návratných zdrojov financovania – dlhodobého investičného  úveru vo výške 1 500 000,00 eur.</w:t>
      </w:r>
    </w:p>
    <w:p w14:paraId="0C7CE982" w14:textId="77777777" w:rsidR="000A3905" w:rsidRDefault="000A3905" w:rsidP="000A3905">
      <w:pPr>
        <w:pStyle w:val="Nadpis2"/>
        <w:ind w:left="121" w:right="510" w:firstLine="0"/>
      </w:pPr>
    </w:p>
    <w:p w14:paraId="1D174BC9" w14:textId="77777777" w:rsidR="000A3905" w:rsidRDefault="000A3905" w:rsidP="000A3905">
      <w:pPr>
        <w:pStyle w:val="Nadpis2"/>
        <w:ind w:left="121" w:right="510" w:firstLine="0"/>
      </w:pPr>
    </w:p>
    <w:p w14:paraId="522438BC" w14:textId="77777777" w:rsidR="00160CF1" w:rsidRDefault="00160CF1" w:rsidP="00160CF1">
      <w:pPr>
        <w:adjustRightInd w:val="0"/>
        <w:jc w:val="both"/>
        <w:rPr>
          <w:color w:val="000000"/>
          <w:sz w:val="24"/>
          <w:szCs w:val="24"/>
        </w:rPr>
      </w:pPr>
    </w:p>
    <w:p w14:paraId="70A9ED1E" w14:textId="77777777" w:rsidR="00160CF1" w:rsidRPr="001E71F3" w:rsidRDefault="00160CF1" w:rsidP="00160CF1">
      <w:pPr>
        <w:adjustRightInd w:val="0"/>
        <w:jc w:val="both"/>
        <w:rPr>
          <w:color w:val="000000"/>
          <w:sz w:val="24"/>
          <w:szCs w:val="24"/>
        </w:rPr>
      </w:pPr>
    </w:p>
    <w:p w14:paraId="41FA9E8B" w14:textId="77777777" w:rsidR="00160CF1" w:rsidRPr="001E71F3" w:rsidRDefault="00160CF1" w:rsidP="00160CF1">
      <w:pPr>
        <w:adjustRightInd w:val="0"/>
        <w:jc w:val="both"/>
        <w:rPr>
          <w:color w:val="000000"/>
          <w:sz w:val="24"/>
          <w:szCs w:val="24"/>
        </w:rPr>
      </w:pPr>
    </w:p>
    <w:p w14:paraId="46A12412" w14:textId="0F5D60E5" w:rsidR="00160CF1" w:rsidRPr="001E71F3" w:rsidRDefault="00AA6E59" w:rsidP="00160CF1">
      <w:pPr>
        <w:adjustRightInd w:val="0"/>
        <w:rPr>
          <w:color w:val="000000"/>
          <w:sz w:val="24"/>
          <w:szCs w:val="24"/>
        </w:rPr>
      </w:pPr>
      <w:r>
        <w:rPr>
          <w:color w:val="000000"/>
          <w:sz w:val="24"/>
          <w:szCs w:val="24"/>
        </w:rPr>
        <w:t>V</w:t>
      </w:r>
      <w:r w:rsidR="00160CF1" w:rsidRPr="001E71F3">
        <w:rPr>
          <w:color w:val="000000"/>
          <w:sz w:val="24"/>
          <w:szCs w:val="24"/>
        </w:rPr>
        <w:t xml:space="preserve"> Spišskej Belej, dňa </w:t>
      </w:r>
      <w:r w:rsidR="000D6104">
        <w:rPr>
          <w:color w:val="000000"/>
          <w:sz w:val="24"/>
          <w:szCs w:val="24"/>
        </w:rPr>
        <w:t>30. 7. 2024</w:t>
      </w:r>
    </w:p>
    <w:p w14:paraId="0EB19BDD" w14:textId="77777777" w:rsidR="00160CF1" w:rsidRPr="001E71F3" w:rsidRDefault="00160CF1" w:rsidP="00160CF1">
      <w:pPr>
        <w:adjustRightInd w:val="0"/>
        <w:rPr>
          <w:color w:val="000000"/>
          <w:sz w:val="24"/>
          <w:szCs w:val="24"/>
        </w:rPr>
      </w:pPr>
    </w:p>
    <w:p w14:paraId="4EB52E66" w14:textId="75165B16" w:rsidR="00160CF1" w:rsidRDefault="00160CF1" w:rsidP="00160CF1">
      <w:pPr>
        <w:adjustRightInd w:val="0"/>
        <w:rPr>
          <w:color w:val="000000"/>
          <w:sz w:val="24"/>
          <w:szCs w:val="24"/>
        </w:rPr>
      </w:pPr>
      <w:r w:rsidRPr="001E71F3">
        <w:rPr>
          <w:color w:val="000000"/>
          <w:sz w:val="24"/>
          <w:szCs w:val="24"/>
        </w:rPr>
        <w:t xml:space="preserve"> </w:t>
      </w:r>
    </w:p>
    <w:p w14:paraId="75B14516" w14:textId="2CB464FD" w:rsidR="00592C73" w:rsidRDefault="00592C73" w:rsidP="00160CF1">
      <w:pPr>
        <w:adjustRightInd w:val="0"/>
        <w:rPr>
          <w:color w:val="000000"/>
          <w:sz w:val="24"/>
          <w:szCs w:val="24"/>
        </w:rPr>
      </w:pPr>
    </w:p>
    <w:p w14:paraId="1F930B77" w14:textId="77777777" w:rsidR="00592C73" w:rsidRPr="001E71F3" w:rsidRDefault="00592C73" w:rsidP="00160CF1">
      <w:pPr>
        <w:adjustRightInd w:val="0"/>
        <w:rPr>
          <w:color w:val="000000"/>
          <w:sz w:val="24"/>
          <w:szCs w:val="24"/>
        </w:rPr>
      </w:pPr>
    </w:p>
    <w:p w14:paraId="17C1D2FA" w14:textId="77777777" w:rsidR="00160CF1" w:rsidRPr="001E71F3" w:rsidRDefault="00160CF1" w:rsidP="00160CF1">
      <w:pPr>
        <w:adjustRightInd w:val="0"/>
        <w:rPr>
          <w:color w:val="000000"/>
          <w:sz w:val="24"/>
          <w:szCs w:val="24"/>
        </w:rPr>
      </w:pPr>
      <w:r w:rsidRPr="001E71F3">
        <w:rPr>
          <w:color w:val="000000"/>
          <w:sz w:val="24"/>
          <w:szCs w:val="24"/>
        </w:rPr>
        <w:t xml:space="preserve">                                                                                          Ing. Slávka Tomalová </w:t>
      </w:r>
    </w:p>
    <w:p w14:paraId="01C78516" w14:textId="77777777" w:rsidR="00160CF1" w:rsidRPr="001E71F3" w:rsidRDefault="00160CF1" w:rsidP="00160CF1">
      <w:pPr>
        <w:suppressAutoHyphens/>
        <w:textAlignment w:val="baseline"/>
        <w:rPr>
          <w:rFonts w:eastAsia="Andale Sans UI"/>
          <w:kern w:val="3"/>
          <w:sz w:val="24"/>
          <w:szCs w:val="24"/>
          <w:lang w:eastAsia="ja-JP" w:bidi="fa-IR"/>
        </w:rPr>
      </w:pPr>
      <w:r w:rsidRPr="001E71F3">
        <w:rPr>
          <w:rFonts w:eastAsia="Andale Sans UI"/>
          <w:kern w:val="3"/>
          <w:sz w:val="24"/>
          <w:szCs w:val="24"/>
          <w:lang w:eastAsia="ja-JP" w:bidi="fa-IR"/>
        </w:rPr>
        <w:t xml:space="preserve">                                                                               hlavná kontrolórka mesta Spišská Belá</w:t>
      </w:r>
    </w:p>
    <w:p w14:paraId="633CED2F" w14:textId="0A05D744" w:rsidR="00160CF1" w:rsidRDefault="00160CF1" w:rsidP="003D1EEC">
      <w:pPr>
        <w:sectPr w:rsidR="00160CF1">
          <w:pgSz w:w="11920" w:h="16850"/>
          <w:pgMar w:top="1360" w:right="460" w:bottom="800" w:left="1180" w:header="331" w:footer="602" w:gutter="0"/>
          <w:cols w:space="708"/>
        </w:sectPr>
      </w:pPr>
    </w:p>
    <w:p w14:paraId="2DEE1BB4" w14:textId="77777777" w:rsidR="003D1EEC" w:rsidRDefault="003D1EEC" w:rsidP="00592C73"/>
    <w:sectPr w:rsidR="003D1E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A6B59" w14:textId="77777777" w:rsidR="00B542BB" w:rsidRDefault="00B542BB" w:rsidP="00DA0F00">
      <w:r>
        <w:separator/>
      </w:r>
    </w:p>
  </w:endnote>
  <w:endnote w:type="continuationSeparator" w:id="0">
    <w:p w14:paraId="0A0484D9" w14:textId="77777777" w:rsidR="00B542BB" w:rsidRDefault="00B542BB" w:rsidP="00DA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823932"/>
      <w:docPartObj>
        <w:docPartGallery w:val="Page Numbers (Bottom of Page)"/>
        <w:docPartUnique/>
      </w:docPartObj>
    </w:sdtPr>
    <w:sdtContent>
      <w:p w14:paraId="527B00F0" w14:textId="4EE6AE3F" w:rsidR="00FE35B3" w:rsidRDefault="00FE35B3">
        <w:pPr>
          <w:pStyle w:val="Pta"/>
          <w:jc w:val="center"/>
        </w:pPr>
        <w:r>
          <w:fldChar w:fldCharType="begin"/>
        </w:r>
        <w:r>
          <w:instrText>PAGE   \* MERGEFORMAT</w:instrText>
        </w:r>
        <w:r>
          <w:fldChar w:fldCharType="separate"/>
        </w:r>
        <w:r>
          <w:t>2</w:t>
        </w:r>
        <w:r>
          <w:fldChar w:fldCharType="end"/>
        </w:r>
      </w:p>
    </w:sdtContent>
  </w:sdt>
  <w:p w14:paraId="5D4A4205" w14:textId="77777777" w:rsidR="00FE35B3" w:rsidRDefault="00FE35B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573899"/>
      <w:docPartObj>
        <w:docPartGallery w:val="Page Numbers (Bottom of Page)"/>
        <w:docPartUnique/>
      </w:docPartObj>
    </w:sdtPr>
    <w:sdtContent>
      <w:p w14:paraId="570BA964" w14:textId="2267A0B5" w:rsidR="00FE35B3" w:rsidRDefault="00FE35B3">
        <w:pPr>
          <w:pStyle w:val="Pta"/>
          <w:jc w:val="center"/>
        </w:pPr>
        <w:r>
          <w:fldChar w:fldCharType="begin"/>
        </w:r>
        <w:r>
          <w:instrText>PAGE   \* MERGEFORMAT</w:instrText>
        </w:r>
        <w:r>
          <w:fldChar w:fldCharType="separate"/>
        </w:r>
        <w:r>
          <w:t>2</w:t>
        </w:r>
        <w:r>
          <w:fldChar w:fldCharType="end"/>
        </w:r>
      </w:p>
    </w:sdtContent>
  </w:sdt>
  <w:p w14:paraId="269ABC31" w14:textId="2D19EFA7" w:rsidR="00FE35B3" w:rsidRDefault="00FE35B3">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30D03" w14:textId="77777777" w:rsidR="00B542BB" w:rsidRDefault="00B542BB" w:rsidP="00DA0F00">
      <w:r>
        <w:separator/>
      </w:r>
    </w:p>
  </w:footnote>
  <w:footnote w:type="continuationSeparator" w:id="0">
    <w:p w14:paraId="68F462F8" w14:textId="77777777" w:rsidR="00B542BB" w:rsidRDefault="00B542BB" w:rsidP="00DA0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5C3C9EA73227431A9FCCBB29E12335E8"/>
      </w:placeholder>
      <w:temporary/>
      <w:showingPlcHdr/>
      <w15:appearance w15:val="hidden"/>
    </w:sdtPr>
    <w:sdtContent>
      <w:p w14:paraId="0E547B33" w14:textId="77777777" w:rsidR="00FE35B3" w:rsidRDefault="00FE35B3">
        <w:pPr>
          <w:pStyle w:val="Hlavika"/>
        </w:pPr>
        <w:r>
          <w:t>[Zadajte text]</w:t>
        </w:r>
      </w:p>
    </w:sdtContent>
  </w:sdt>
  <w:p w14:paraId="694C3F94" w14:textId="3F147189" w:rsidR="00FE35B3" w:rsidRDefault="00FE35B3">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D6"/>
    <w:multiLevelType w:val="hybridMultilevel"/>
    <w:tmpl w:val="4912CA1C"/>
    <w:lvl w:ilvl="0" w:tplc="21A63B0C">
      <w:start w:val="1"/>
      <w:numFmt w:val="decimal"/>
      <w:lvlText w:val="%1."/>
      <w:lvlJc w:val="left"/>
      <w:pPr>
        <w:ind w:left="596" w:hanging="360"/>
        <w:jc w:val="right"/>
      </w:pPr>
      <w:rPr>
        <w:rFonts w:ascii="Times New Roman" w:eastAsia="Times New Roman" w:hAnsi="Times New Roman" w:cs="Times New Roman" w:hint="default"/>
        <w:b/>
        <w:bCs/>
        <w:i w:val="0"/>
        <w:iCs w:val="0"/>
        <w:w w:val="100"/>
        <w:sz w:val="24"/>
        <w:szCs w:val="24"/>
        <w:lang w:val="sk-SK" w:eastAsia="en-US" w:bidi="ar-SA"/>
      </w:rPr>
    </w:lvl>
    <w:lvl w:ilvl="1" w:tplc="9CC262F0">
      <w:start w:val="1"/>
      <w:numFmt w:val="lowerLetter"/>
      <w:lvlText w:val="%2)"/>
      <w:lvlJc w:val="left"/>
      <w:pPr>
        <w:ind w:left="548" w:hanging="360"/>
      </w:pPr>
      <w:rPr>
        <w:rFonts w:ascii="Times New Roman" w:eastAsia="Times New Roman" w:hAnsi="Times New Roman" w:cs="Times New Roman" w:hint="default"/>
        <w:b w:val="0"/>
        <w:bCs w:val="0"/>
        <w:i w:val="0"/>
        <w:iCs w:val="0"/>
        <w:spacing w:val="-1"/>
        <w:w w:val="100"/>
        <w:sz w:val="24"/>
        <w:szCs w:val="24"/>
        <w:lang w:val="sk-SK" w:eastAsia="en-US" w:bidi="ar-SA"/>
      </w:rPr>
    </w:lvl>
    <w:lvl w:ilvl="2" w:tplc="03D665D2">
      <w:numFmt w:val="bullet"/>
      <w:lvlText w:val="•"/>
      <w:lvlJc w:val="left"/>
      <w:pPr>
        <w:ind w:left="840" w:hanging="360"/>
      </w:pPr>
      <w:rPr>
        <w:rFonts w:hint="default"/>
        <w:lang w:val="sk-SK" w:eastAsia="en-US" w:bidi="ar-SA"/>
      </w:rPr>
    </w:lvl>
    <w:lvl w:ilvl="3" w:tplc="A1EA01AE">
      <w:numFmt w:val="bullet"/>
      <w:lvlText w:val="•"/>
      <w:lvlJc w:val="left"/>
      <w:pPr>
        <w:ind w:left="2018" w:hanging="360"/>
      </w:pPr>
      <w:rPr>
        <w:rFonts w:hint="default"/>
        <w:lang w:val="sk-SK" w:eastAsia="en-US" w:bidi="ar-SA"/>
      </w:rPr>
    </w:lvl>
    <w:lvl w:ilvl="4" w:tplc="AD68057A">
      <w:numFmt w:val="bullet"/>
      <w:lvlText w:val="•"/>
      <w:lvlJc w:val="left"/>
      <w:pPr>
        <w:ind w:left="3197" w:hanging="360"/>
      </w:pPr>
      <w:rPr>
        <w:rFonts w:hint="default"/>
        <w:lang w:val="sk-SK" w:eastAsia="en-US" w:bidi="ar-SA"/>
      </w:rPr>
    </w:lvl>
    <w:lvl w:ilvl="5" w:tplc="87E4D022">
      <w:numFmt w:val="bullet"/>
      <w:lvlText w:val="•"/>
      <w:lvlJc w:val="left"/>
      <w:pPr>
        <w:ind w:left="4376" w:hanging="360"/>
      </w:pPr>
      <w:rPr>
        <w:rFonts w:hint="default"/>
        <w:lang w:val="sk-SK" w:eastAsia="en-US" w:bidi="ar-SA"/>
      </w:rPr>
    </w:lvl>
    <w:lvl w:ilvl="6" w:tplc="2A5EBE80">
      <w:numFmt w:val="bullet"/>
      <w:lvlText w:val="•"/>
      <w:lvlJc w:val="left"/>
      <w:pPr>
        <w:ind w:left="5555" w:hanging="360"/>
      </w:pPr>
      <w:rPr>
        <w:rFonts w:hint="default"/>
        <w:lang w:val="sk-SK" w:eastAsia="en-US" w:bidi="ar-SA"/>
      </w:rPr>
    </w:lvl>
    <w:lvl w:ilvl="7" w:tplc="E00A7D36">
      <w:numFmt w:val="bullet"/>
      <w:lvlText w:val="•"/>
      <w:lvlJc w:val="left"/>
      <w:pPr>
        <w:ind w:left="6734" w:hanging="360"/>
      </w:pPr>
      <w:rPr>
        <w:rFonts w:hint="default"/>
        <w:lang w:val="sk-SK" w:eastAsia="en-US" w:bidi="ar-SA"/>
      </w:rPr>
    </w:lvl>
    <w:lvl w:ilvl="8" w:tplc="201639D8">
      <w:numFmt w:val="bullet"/>
      <w:lvlText w:val="•"/>
      <w:lvlJc w:val="left"/>
      <w:pPr>
        <w:ind w:left="7913" w:hanging="360"/>
      </w:pPr>
      <w:rPr>
        <w:rFonts w:hint="default"/>
        <w:lang w:val="sk-SK" w:eastAsia="en-US" w:bidi="ar-SA"/>
      </w:rPr>
    </w:lvl>
  </w:abstractNum>
  <w:abstractNum w:abstractNumId="1" w15:restartNumberingAfterBreak="0">
    <w:nsid w:val="16520D79"/>
    <w:multiLevelType w:val="hybridMultilevel"/>
    <w:tmpl w:val="C5D06684"/>
    <w:lvl w:ilvl="0" w:tplc="42D2EF30">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F4A5530"/>
    <w:multiLevelType w:val="hybridMultilevel"/>
    <w:tmpl w:val="C1F8D7AC"/>
    <w:lvl w:ilvl="0" w:tplc="7048190A">
      <w:numFmt w:val="bullet"/>
      <w:lvlText w:val="-"/>
      <w:lvlJc w:val="left"/>
      <w:pPr>
        <w:ind w:left="306" w:hanging="140"/>
      </w:pPr>
      <w:rPr>
        <w:rFonts w:ascii="Times New Roman" w:eastAsia="Times New Roman" w:hAnsi="Times New Roman" w:cs="Times New Roman" w:hint="default"/>
        <w:b w:val="0"/>
        <w:bCs w:val="0"/>
        <w:i w:val="0"/>
        <w:iCs w:val="0"/>
        <w:w w:val="100"/>
        <w:sz w:val="24"/>
        <w:szCs w:val="24"/>
        <w:lang w:val="sk-SK" w:eastAsia="en-US" w:bidi="ar-SA"/>
      </w:rPr>
    </w:lvl>
    <w:lvl w:ilvl="1" w:tplc="D6BC83A4">
      <w:numFmt w:val="bullet"/>
      <w:lvlText w:val="•"/>
      <w:lvlJc w:val="left"/>
      <w:pPr>
        <w:ind w:left="1059" w:hanging="140"/>
      </w:pPr>
      <w:rPr>
        <w:rFonts w:hint="default"/>
        <w:lang w:val="sk-SK" w:eastAsia="en-US" w:bidi="ar-SA"/>
      </w:rPr>
    </w:lvl>
    <w:lvl w:ilvl="2" w:tplc="A3EAF3A4">
      <w:numFmt w:val="bullet"/>
      <w:lvlText w:val="•"/>
      <w:lvlJc w:val="left"/>
      <w:pPr>
        <w:ind w:left="1819" w:hanging="140"/>
      </w:pPr>
      <w:rPr>
        <w:rFonts w:hint="default"/>
        <w:lang w:val="sk-SK" w:eastAsia="en-US" w:bidi="ar-SA"/>
      </w:rPr>
    </w:lvl>
    <w:lvl w:ilvl="3" w:tplc="74A6A326">
      <w:numFmt w:val="bullet"/>
      <w:lvlText w:val="•"/>
      <w:lvlJc w:val="left"/>
      <w:pPr>
        <w:ind w:left="2579" w:hanging="140"/>
      </w:pPr>
      <w:rPr>
        <w:rFonts w:hint="default"/>
        <w:lang w:val="sk-SK" w:eastAsia="en-US" w:bidi="ar-SA"/>
      </w:rPr>
    </w:lvl>
    <w:lvl w:ilvl="4" w:tplc="8BE68BEA">
      <w:numFmt w:val="bullet"/>
      <w:lvlText w:val="•"/>
      <w:lvlJc w:val="left"/>
      <w:pPr>
        <w:ind w:left="3338" w:hanging="140"/>
      </w:pPr>
      <w:rPr>
        <w:rFonts w:hint="default"/>
        <w:lang w:val="sk-SK" w:eastAsia="en-US" w:bidi="ar-SA"/>
      </w:rPr>
    </w:lvl>
    <w:lvl w:ilvl="5" w:tplc="24CC0FC2">
      <w:numFmt w:val="bullet"/>
      <w:lvlText w:val="•"/>
      <w:lvlJc w:val="left"/>
      <w:pPr>
        <w:ind w:left="4098" w:hanging="140"/>
      </w:pPr>
      <w:rPr>
        <w:rFonts w:hint="default"/>
        <w:lang w:val="sk-SK" w:eastAsia="en-US" w:bidi="ar-SA"/>
      </w:rPr>
    </w:lvl>
    <w:lvl w:ilvl="6" w:tplc="CFE87D0A">
      <w:numFmt w:val="bullet"/>
      <w:lvlText w:val="•"/>
      <w:lvlJc w:val="left"/>
      <w:pPr>
        <w:ind w:left="4858" w:hanging="140"/>
      </w:pPr>
      <w:rPr>
        <w:rFonts w:hint="default"/>
        <w:lang w:val="sk-SK" w:eastAsia="en-US" w:bidi="ar-SA"/>
      </w:rPr>
    </w:lvl>
    <w:lvl w:ilvl="7" w:tplc="8A9AA0D4">
      <w:numFmt w:val="bullet"/>
      <w:lvlText w:val="•"/>
      <w:lvlJc w:val="left"/>
      <w:pPr>
        <w:ind w:left="5617" w:hanging="140"/>
      </w:pPr>
      <w:rPr>
        <w:rFonts w:hint="default"/>
        <w:lang w:val="sk-SK" w:eastAsia="en-US" w:bidi="ar-SA"/>
      </w:rPr>
    </w:lvl>
    <w:lvl w:ilvl="8" w:tplc="668A1FA2">
      <w:numFmt w:val="bullet"/>
      <w:lvlText w:val="•"/>
      <w:lvlJc w:val="left"/>
      <w:pPr>
        <w:ind w:left="6377" w:hanging="140"/>
      </w:pPr>
      <w:rPr>
        <w:rFonts w:hint="default"/>
        <w:lang w:val="sk-SK" w:eastAsia="en-US" w:bidi="ar-SA"/>
      </w:rPr>
    </w:lvl>
  </w:abstractNum>
  <w:abstractNum w:abstractNumId="3" w15:restartNumberingAfterBreak="0">
    <w:nsid w:val="320F1D96"/>
    <w:multiLevelType w:val="hybridMultilevel"/>
    <w:tmpl w:val="36C47B2A"/>
    <w:lvl w:ilvl="0" w:tplc="B7605EFA">
      <w:start w:val="1"/>
      <w:numFmt w:val="decimal"/>
      <w:lvlText w:val="%1."/>
      <w:lvlJc w:val="left"/>
      <w:pPr>
        <w:ind w:left="660" w:hanging="360"/>
      </w:pPr>
      <w:rPr>
        <w:rFonts w:hint="default"/>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4" w15:restartNumberingAfterBreak="0">
    <w:nsid w:val="4A31057C"/>
    <w:multiLevelType w:val="hybridMultilevel"/>
    <w:tmpl w:val="0804DB3C"/>
    <w:lvl w:ilvl="0" w:tplc="44D4D134">
      <w:numFmt w:val="bullet"/>
      <w:lvlText w:val=""/>
      <w:lvlJc w:val="left"/>
      <w:pPr>
        <w:ind w:left="548" w:hanging="360"/>
      </w:pPr>
      <w:rPr>
        <w:rFonts w:ascii="Symbol" w:eastAsia="Symbol" w:hAnsi="Symbol" w:cs="Symbol" w:hint="default"/>
        <w:b w:val="0"/>
        <w:bCs w:val="0"/>
        <w:i w:val="0"/>
        <w:iCs w:val="0"/>
        <w:w w:val="100"/>
        <w:sz w:val="24"/>
        <w:szCs w:val="24"/>
        <w:lang w:val="sk-SK" w:eastAsia="en-US" w:bidi="ar-SA"/>
      </w:rPr>
    </w:lvl>
    <w:lvl w:ilvl="1" w:tplc="531E1AF0">
      <w:numFmt w:val="bullet"/>
      <w:lvlText w:val="•"/>
      <w:lvlJc w:val="left"/>
      <w:pPr>
        <w:ind w:left="1513" w:hanging="360"/>
      </w:pPr>
      <w:rPr>
        <w:rFonts w:hint="default"/>
        <w:lang w:val="sk-SK" w:eastAsia="en-US" w:bidi="ar-SA"/>
      </w:rPr>
    </w:lvl>
    <w:lvl w:ilvl="2" w:tplc="C89C7D4C">
      <w:numFmt w:val="bullet"/>
      <w:lvlText w:val="•"/>
      <w:lvlJc w:val="left"/>
      <w:pPr>
        <w:ind w:left="2486" w:hanging="360"/>
      </w:pPr>
      <w:rPr>
        <w:rFonts w:hint="default"/>
        <w:lang w:val="sk-SK" w:eastAsia="en-US" w:bidi="ar-SA"/>
      </w:rPr>
    </w:lvl>
    <w:lvl w:ilvl="3" w:tplc="3F7A8FDC">
      <w:numFmt w:val="bullet"/>
      <w:lvlText w:val="•"/>
      <w:lvlJc w:val="left"/>
      <w:pPr>
        <w:ind w:left="3459" w:hanging="360"/>
      </w:pPr>
      <w:rPr>
        <w:rFonts w:hint="default"/>
        <w:lang w:val="sk-SK" w:eastAsia="en-US" w:bidi="ar-SA"/>
      </w:rPr>
    </w:lvl>
    <w:lvl w:ilvl="4" w:tplc="6630C18A">
      <w:numFmt w:val="bullet"/>
      <w:lvlText w:val="•"/>
      <w:lvlJc w:val="left"/>
      <w:pPr>
        <w:ind w:left="4432" w:hanging="360"/>
      </w:pPr>
      <w:rPr>
        <w:rFonts w:hint="default"/>
        <w:lang w:val="sk-SK" w:eastAsia="en-US" w:bidi="ar-SA"/>
      </w:rPr>
    </w:lvl>
    <w:lvl w:ilvl="5" w:tplc="7780C3A6">
      <w:numFmt w:val="bullet"/>
      <w:lvlText w:val="•"/>
      <w:lvlJc w:val="left"/>
      <w:pPr>
        <w:ind w:left="5405" w:hanging="360"/>
      </w:pPr>
      <w:rPr>
        <w:rFonts w:hint="default"/>
        <w:lang w:val="sk-SK" w:eastAsia="en-US" w:bidi="ar-SA"/>
      </w:rPr>
    </w:lvl>
    <w:lvl w:ilvl="6" w:tplc="51E4E98A">
      <w:numFmt w:val="bullet"/>
      <w:lvlText w:val="•"/>
      <w:lvlJc w:val="left"/>
      <w:pPr>
        <w:ind w:left="6378" w:hanging="360"/>
      </w:pPr>
      <w:rPr>
        <w:rFonts w:hint="default"/>
        <w:lang w:val="sk-SK" w:eastAsia="en-US" w:bidi="ar-SA"/>
      </w:rPr>
    </w:lvl>
    <w:lvl w:ilvl="7" w:tplc="0520053C">
      <w:numFmt w:val="bullet"/>
      <w:lvlText w:val="•"/>
      <w:lvlJc w:val="left"/>
      <w:pPr>
        <w:ind w:left="7351" w:hanging="360"/>
      </w:pPr>
      <w:rPr>
        <w:rFonts w:hint="default"/>
        <w:lang w:val="sk-SK" w:eastAsia="en-US" w:bidi="ar-SA"/>
      </w:rPr>
    </w:lvl>
    <w:lvl w:ilvl="8" w:tplc="3FDAFC0E">
      <w:numFmt w:val="bullet"/>
      <w:lvlText w:val="•"/>
      <w:lvlJc w:val="left"/>
      <w:pPr>
        <w:ind w:left="8324" w:hanging="360"/>
      </w:pPr>
      <w:rPr>
        <w:rFonts w:hint="default"/>
        <w:lang w:val="sk-SK" w:eastAsia="en-US" w:bidi="ar-SA"/>
      </w:rPr>
    </w:lvl>
  </w:abstractNum>
  <w:abstractNum w:abstractNumId="5" w15:restartNumberingAfterBreak="0">
    <w:nsid w:val="4AEE4750"/>
    <w:multiLevelType w:val="hybridMultilevel"/>
    <w:tmpl w:val="33582CC4"/>
    <w:lvl w:ilvl="0" w:tplc="D0DAB5D6">
      <w:start w:val="1"/>
      <w:numFmt w:val="decimal"/>
      <w:lvlText w:val="%1."/>
      <w:lvlJc w:val="left"/>
      <w:pPr>
        <w:ind w:left="596" w:hanging="360"/>
        <w:jc w:val="right"/>
      </w:pPr>
      <w:rPr>
        <w:rFonts w:ascii="Times New Roman" w:eastAsia="Times New Roman" w:hAnsi="Times New Roman" w:cs="Times New Roman" w:hint="default"/>
        <w:b/>
        <w:bCs/>
        <w:i w:val="0"/>
        <w:iCs w:val="0"/>
        <w:w w:val="100"/>
        <w:sz w:val="24"/>
        <w:szCs w:val="24"/>
        <w:lang w:val="sk-SK" w:eastAsia="en-US" w:bidi="ar-SA"/>
      </w:rPr>
    </w:lvl>
    <w:lvl w:ilvl="1" w:tplc="64E89244">
      <w:start w:val="1"/>
      <w:numFmt w:val="lowerLetter"/>
      <w:lvlText w:val="%2)"/>
      <w:lvlJc w:val="left"/>
      <w:pPr>
        <w:ind w:left="548" w:hanging="360"/>
      </w:pPr>
      <w:rPr>
        <w:rFonts w:ascii="Times New Roman" w:eastAsia="Times New Roman" w:hAnsi="Times New Roman" w:cs="Times New Roman" w:hint="default"/>
        <w:b w:val="0"/>
        <w:bCs w:val="0"/>
        <w:i w:val="0"/>
        <w:iCs w:val="0"/>
        <w:spacing w:val="-1"/>
        <w:w w:val="100"/>
        <w:sz w:val="24"/>
        <w:szCs w:val="24"/>
        <w:lang w:val="sk-SK" w:eastAsia="en-US" w:bidi="ar-SA"/>
      </w:rPr>
    </w:lvl>
    <w:lvl w:ilvl="2" w:tplc="C3CE2B06">
      <w:numFmt w:val="bullet"/>
      <w:lvlText w:val="•"/>
      <w:lvlJc w:val="left"/>
      <w:pPr>
        <w:ind w:left="840" w:hanging="360"/>
      </w:pPr>
      <w:rPr>
        <w:rFonts w:hint="default"/>
        <w:lang w:val="sk-SK" w:eastAsia="en-US" w:bidi="ar-SA"/>
      </w:rPr>
    </w:lvl>
    <w:lvl w:ilvl="3" w:tplc="0F3E0B8E">
      <w:numFmt w:val="bullet"/>
      <w:lvlText w:val="•"/>
      <w:lvlJc w:val="left"/>
      <w:pPr>
        <w:ind w:left="2018" w:hanging="360"/>
      </w:pPr>
      <w:rPr>
        <w:rFonts w:hint="default"/>
        <w:lang w:val="sk-SK" w:eastAsia="en-US" w:bidi="ar-SA"/>
      </w:rPr>
    </w:lvl>
    <w:lvl w:ilvl="4" w:tplc="9D82FF6E">
      <w:numFmt w:val="bullet"/>
      <w:lvlText w:val="•"/>
      <w:lvlJc w:val="left"/>
      <w:pPr>
        <w:ind w:left="3197" w:hanging="360"/>
      </w:pPr>
      <w:rPr>
        <w:rFonts w:hint="default"/>
        <w:lang w:val="sk-SK" w:eastAsia="en-US" w:bidi="ar-SA"/>
      </w:rPr>
    </w:lvl>
    <w:lvl w:ilvl="5" w:tplc="CA34B378">
      <w:numFmt w:val="bullet"/>
      <w:lvlText w:val="•"/>
      <w:lvlJc w:val="left"/>
      <w:pPr>
        <w:ind w:left="4376" w:hanging="360"/>
      </w:pPr>
      <w:rPr>
        <w:rFonts w:hint="default"/>
        <w:lang w:val="sk-SK" w:eastAsia="en-US" w:bidi="ar-SA"/>
      </w:rPr>
    </w:lvl>
    <w:lvl w:ilvl="6" w:tplc="A0960DD0">
      <w:numFmt w:val="bullet"/>
      <w:lvlText w:val="•"/>
      <w:lvlJc w:val="left"/>
      <w:pPr>
        <w:ind w:left="5555" w:hanging="360"/>
      </w:pPr>
      <w:rPr>
        <w:rFonts w:hint="default"/>
        <w:lang w:val="sk-SK" w:eastAsia="en-US" w:bidi="ar-SA"/>
      </w:rPr>
    </w:lvl>
    <w:lvl w:ilvl="7" w:tplc="46C6742E">
      <w:numFmt w:val="bullet"/>
      <w:lvlText w:val="•"/>
      <w:lvlJc w:val="left"/>
      <w:pPr>
        <w:ind w:left="6734" w:hanging="360"/>
      </w:pPr>
      <w:rPr>
        <w:rFonts w:hint="default"/>
        <w:lang w:val="sk-SK" w:eastAsia="en-US" w:bidi="ar-SA"/>
      </w:rPr>
    </w:lvl>
    <w:lvl w:ilvl="8" w:tplc="9B42AA80">
      <w:numFmt w:val="bullet"/>
      <w:lvlText w:val="•"/>
      <w:lvlJc w:val="left"/>
      <w:pPr>
        <w:ind w:left="7913" w:hanging="360"/>
      </w:pPr>
      <w:rPr>
        <w:rFonts w:hint="default"/>
        <w:lang w:val="sk-SK" w:eastAsia="en-US" w:bidi="ar-SA"/>
      </w:rPr>
    </w:lvl>
  </w:abstractNum>
  <w:abstractNum w:abstractNumId="6" w15:restartNumberingAfterBreak="0">
    <w:nsid w:val="793D708E"/>
    <w:multiLevelType w:val="hybridMultilevel"/>
    <w:tmpl w:val="B98249B6"/>
    <w:lvl w:ilvl="0" w:tplc="1120758A">
      <w:start w:val="1"/>
      <w:numFmt w:val="decimal"/>
      <w:lvlText w:val="%1."/>
      <w:lvlJc w:val="left"/>
      <w:pPr>
        <w:ind w:left="480" w:hanging="360"/>
      </w:pPr>
      <w:rPr>
        <w:rFonts w:hint="default"/>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89"/>
    <w:rsid w:val="0000281B"/>
    <w:rsid w:val="0001293A"/>
    <w:rsid w:val="000205FA"/>
    <w:rsid w:val="000962A8"/>
    <w:rsid w:val="000A050A"/>
    <w:rsid w:val="000A3905"/>
    <w:rsid w:val="000D6104"/>
    <w:rsid w:val="001025E3"/>
    <w:rsid w:val="001058E4"/>
    <w:rsid w:val="00130D55"/>
    <w:rsid w:val="00160CF1"/>
    <w:rsid w:val="00181F2C"/>
    <w:rsid w:val="001966EA"/>
    <w:rsid w:val="001A0E12"/>
    <w:rsid w:val="001B1BA9"/>
    <w:rsid w:val="00204E5B"/>
    <w:rsid w:val="0022546C"/>
    <w:rsid w:val="002B0071"/>
    <w:rsid w:val="002C33C5"/>
    <w:rsid w:val="003335AC"/>
    <w:rsid w:val="003B503C"/>
    <w:rsid w:val="003D1EEC"/>
    <w:rsid w:val="0042062D"/>
    <w:rsid w:val="00470BF3"/>
    <w:rsid w:val="00475162"/>
    <w:rsid w:val="00491D4A"/>
    <w:rsid w:val="00573AE5"/>
    <w:rsid w:val="00592C73"/>
    <w:rsid w:val="005C66D5"/>
    <w:rsid w:val="005E47E2"/>
    <w:rsid w:val="00604902"/>
    <w:rsid w:val="00667C25"/>
    <w:rsid w:val="006E2801"/>
    <w:rsid w:val="00710B89"/>
    <w:rsid w:val="007C2D9B"/>
    <w:rsid w:val="007F0E3A"/>
    <w:rsid w:val="008050DC"/>
    <w:rsid w:val="00832214"/>
    <w:rsid w:val="008568C1"/>
    <w:rsid w:val="008627CB"/>
    <w:rsid w:val="00897B74"/>
    <w:rsid w:val="00912DA6"/>
    <w:rsid w:val="00952F90"/>
    <w:rsid w:val="00984A4D"/>
    <w:rsid w:val="009B62C9"/>
    <w:rsid w:val="00A503D7"/>
    <w:rsid w:val="00AA6E59"/>
    <w:rsid w:val="00AB179C"/>
    <w:rsid w:val="00AF3664"/>
    <w:rsid w:val="00B244A7"/>
    <w:rsid w:val="00B437C6"/>
    <w:rsid w:val="00B542BB"/>
    <w:rsid w:val="00B9103C"/>
    <w:rsid w:val="00BD4A25"/>
    <w:rsid w:val="00C62318"/>
    <w:rsid w:val="00D72524"/>
    <w:rsid w:val="00DA0F00"/>
    <w:rsid w:val="00DA7591"/>
    <w:rsid w:val="00DF28D8"/>
    <w:rsid w:val="00F4600D"/>
    <w:rsid w:val="00F611A4"/>
    <w:rsid w:val="00FD25EF"/>
    <w:rsid w:val="00FE35B3"/>
    <w:rsid w:val="00FF11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96B3A"/>
  <w15:chartTrackingRefBased/>
  <w15:docId w15:val="{78796C61-0571-4575-B849-930E4668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A0F00"/>
    <w:pPr>
      <w:widowControl w:val="0"/>
      <w:autoSpaceDE w:val="0"/>
      <w:autoSpaceDN w:val="0"/>
      <w:spacing w:after="0" w:line="240" w:lineRule="auto"/>
    </w:pPr>
    <w:rPr>
      <w:rFonts w:ascii="Times New Roman" w:eastAsia="Times New Roman" w:hAnsi="Times New Roman" w:cs="Times New Roman"/>
    </w:rPr>
  </w:style>
  <w:style w:type="paragraph" w:styleId="Nadpis1">
    <w:name w:val="heading 1"/>
    <w:basedOn w:val="Normlny"/>
    <w:link w:val="Nadpis1Char"/>
    <w:uiPriority w:val="9"/>
    <w:qFormat/>
    <w:rsid w:val="00DA0F00"/>
    <w:pPr>
      <w:ind w:left="26" w:right="27"/>
      <w:jc w:val="center"/>
      <w:outlineLvl w:val="0"/>
    </w:pPr>
    <w:rPr>
      <w:b/>
      <w:bCs/>
      <w:sz w:val="28"/>
      <w:szCs w:val="28"/>
    </w:rPr>
  </w:style>
  <w:style w:type="paragraph" w:styleId="Nadpis2">
    <w:name w:val="heading 2"/>
    <w:basedOn w:val="Normlny"/>
    <w:link w:val="Nadpis2Char"/>
    <w:uiPriority w:val="9"/>
    <w:unhideWhenUsed/>
    <w:qFormat/>
    <w:rsid w:val="00DA0F00"/>
    <w:pPr>
      <w:ind w:left="361" w:hanging="241"/>
      <w:jc w:val="both"/>
      <w:outlineLvl w:val="1"/>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A0F00"/>
    <w:rPr>
      <w:rFonts w:ascii="Times New Roman" w:eastAsia="Times New Roman" w:hAnsi="Times New Roman" w:cs="Times New Roman"/>
      <w:b/>
      <w:bCs/>
      <w:sz w:val="28"/>
      <w:szCs w:val="28"/>
    </w:rPr>
  </w:style>
  <w:style w:type="character" w:customStyle="1" w:styleId="Nadpis2Char">
    <w:name w:val="Nadpis 2 Char"/>
    <w:basedOn w:val="Predvolenpsmoodseku"/>
    <w:link w:val="Nadpis2"/>
    <w:uiPriority w:val="9"/>
    <w:rsid w:val="00DA0F00"/>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A0F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DA0F00"/>
    <w:rPr>
      <w:sz w:val="24"/>
      <w:szCs w:val="24"/>
    </w:rPr>
  </w:style>
  <w:style w:type="character" w:customStyle="1" w:styleId="ZkladntextChar">
    <w:name w:val="Základný text Char"/>
    <w:basedOn w:val="Predvolenpsmoodseku"/>
    <w:link w:val="Zkladntext"/>
    <w:uiPriority w:val="1"/>
    <w:rsid w:val="00DA0F00"/>
    <w:rPr>
      <w:rFonts w:ascii="Times New Roman" w:eastAsia="Times New Roman" w:hAnsi="Times New Roman" w:cs="Times New Roman"/>
      <w:sz w:val="24"/>
      <w:szCs w:val="24"/>
    </w:rPr>
  </w:style>
  <w:style w:type="paragraph" w:styleId="Odsekzoznamu">
    <w:name w:val="List Paragraph"/>
    <w:basedOn w:val="Normlny"/>
    <w:uiPriority w:val="1"/>
    <w:qFormat/>
    <w:rsid w:val="00DA0F00"/>
    <w:pPr>
      <w:ind w:left="361" w:hanging="241"/>
      <w:jc w:val="both"/>
    </w:pPr>
  </w:style>
  <w:style w:type="paragraph" w:customStyle="1" w:styleId="TableParagraph">
    <w:name w:val="Table Paragraph"/>
    <w:basedOn w:val="Normlny"/>
    <w:uiPriority w:val="1"/>
    <w:qFormat/>
    <w:rsid w:val="00DA0F00"/>
  </w:style>
  <w:style w:type="paragraph" w:styleId="Hlavika">
    <w:name w:val="header"/>
    <w:basedOn w:val="Normlny"/>
    <w:link w:val="HlavikaChar"/>
    <w:uiPriority w:val="99"/>
    <w:unhideWhenUsed/>
    <w:rsid w:val="00DA0F00"/>
    <w:pPr>
      <w:tabs>
        <w:tab w:val="center" w:pos="4536"/>
        <w:tab w:val="right" w:pos="9072"/>
      </w:tabs>
    </w:pPr>
  </w:style>
  <w:style w:type="character" w:customStyle="1" w:styleId="HlavikaChar">
    <w:name w:val="Hlavička Char"/>
    <w:basedOn w:val="Predvolenpsmoodseku"/>
    <w:link w:val="Hlavika"/>
    <w:uiPriority w:val="99"/>
    <w:rsid w:val="00DA0F00"/>
    <w:rPr>
      <w:rFonts w:ascii="Times New Roman" w:eastAsia="Times New Roman" w:hAnsi="Times New Roman" w:cs="Times New Roman"/>
    </w:rPr>
  </w:style>
  <w:style w:type="paragraph" w:styleId="Pta">
    <w:name w:val="footer"/>
    <w:basedOn w:val="Normlny"/>
    <w:link w:val="PtaChar"/>
    <w:uiPriority w:val="99"/>
    <w:unhideWhenUsed/>
    <w:rsid w:val="00DA0F00"/>
    <w:pPr>
      <w:tabs>
        <w:tab w:val="center" w:pos="4536"/>
        <w:tab w:val="right" w:pos="9072"/>
      </w:tabs>
    </w:pPr>
  </w:style>
  <w:style w:type="character" w:customStyle="1" w:styleId="PtaChar">
    <w:name w:val="Päta Char"/>
    <w:basedOn w:val="Predvolenpsmoodseku"/>
    <w:link w:val="Pta"/>
    <w:uiPriority w:val="99"/>
    <w:rsid w:val="00DA0F00"/>
    <w:rPr>
      <w:rFonts w:ascii="Times New Roman" w:eastAsia="Times New Roman" w:hAnsi="Times New Roman" w:cs="Times New Roman"/>
    </w:rPr>
  </w:style>
  <w:style w:type="character" w:styleId="PremennHTML">
    <w:name w:val="HTML Variable"/>
    <w:basedOn w:val="Predvolenpsmoodseku"/>
    <w:uiPriority w:val="99"/>
    <w:semiHidden/>
    <w:unhideWhenUsed/>
    <w:rsid w:val="003B503C"/>
    <w:rPr>
      <w:i/>
      <w:iCs/>
    </w:rPr>
  </w:style>
  <w:style w:type="character" w:styleId="Hypertextovprepojenie">
    <w:name w:val="Hyperlink"/>
    <w:basedOn w:val="Predvolenpsmoodseku"/>
    <w:uiPriority w:val="99"/>
    <w:semiHidden/>
    <w:unhideWhenUsed/>
    <w:rsid w:val="003B503C"/>
    <w:rPr>
      <w:color w:val="0000FF"/>
      <w:u w:val="single"/>
    </w:rPr>
  </w:style>
  <w:style w:type="paragraph" w:styleId="Textbubliny">
    <w:name w:val="Balloon Text"/>
    <w:basedOn w:val="Normlny"/>
    <w:link w:val="TextbublinyChar"/>
    <w:uiPriority w:val="99"/>
    <w:semiHidden/>
    <w:unhideWhenUsed/>
    <w:rsid w:val="00FE35B3"/>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35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3C9EA73227431A9FCCBB29E12335E8"/>
        <w:category>
          <w:name w:val="Všeobecné"/>
          <w:gallery w:val="placeholder"/>
        </w:category>
        <w:types>
          <w:type w:val="bbPlcHdr"/>
        </w:types>
        <w:behaviors>
          <w:behavior w:val="content"/>
        </w:behaviors>
        <w:guid w:val="{852B18EC-0D3D-4A08-8D38-F36213CDBA05}"/>
      </w:docPartPr>
      <w:docPartBody>
        <w:p w:rsidR="003219D7" w:rsidRDefault="009A2148" w:rsidP="009A2148">
          <w:pPr>
            <w:pStyle w:val="5C3C9EA73227431A9FCCBB29E12335E8"/>
          </w:pPr>
          <w:r>
            <w:t>[Zadajte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48"/>
    <w:rsid w:val="000961DA"/>
    <w:rsid w:val="002D4A07"/>
    <w:rsid w:val="003219D7"/>
    <w:rsid w:val="00914785"/>
    <w:rsid w:val="009A2148"/>
    <w:rsid w:val="00A82139"/>
    <w:rsid w:val="00FB4F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5C3C9EA73227431A9FCCBB29E12335E8">
    <w:name w:val="5C3C9EA73227431A9FCCBB29E12335E8"/>
    <w:rsid w:val="009A2148"/>
  </w:style>
  <w:style w:type="paragraph" w:customStyle="1" w:styleId="CE50CA1A8F1A4125971F6183F32CB91A">
    <w:name w:val="CE50CA1A8F1A4125971F6183F32CB91A"/>
    <w:rsid w:val="00FB4F66"/>
  </w:style>
  <w:style w:type="paragraph" w:customStyle="1" w:styleId="04BA0E7C49CF49EA97AC4A9255921048">
    <w:name w:val="04BA0E7C49CF49EA97AC4A9255921048"/>
    <w:rsid w:val="00FB4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989</TotalTime>
  <Pages>6</Pages>
  <Words>1777</Words>
  <Characters>10134</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TOMALOVÁ Slávka</dc:creator>
  <cp:keywords/>
  <dc:description/>
  <cp:lastModifiedBy>TOMALOVÁ Slávka</cp:lastModifiedBy>
  <cp:revision>13</cp:revision>
  <cp:lastPrinted>2024-07-30T07:52:00Z</cp:lastPrinted>
  <dcterms:created xsi:type="dcterms:W3CDTF">2024-07-18T08:02:00Z</dcterms:created>
  <dcterms:modified xsi:type="dcterms:W3CDTF">2024-07-30T11:47:00Z</dcterms:modified>
</cp:coreProperties>
</file>