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6EF15" w14:textId="77777777" w:rsidR="00784F5F" w:rsidRPr="00425766" w:rsidRDefault="00784F5F" w:rsidP="00784F5F">
      <w:pPr>
        <w:widowControl/>
        <w:tabs>
          <w:tab w:val="left" w:pos="1815"/>
          <w:tab w:val="left" w:pos="6799"/>
        </w:tabs>
        <w:jc w:val="center"/>
        <w:rPr>
          <w:rFonts w:eastAsia="Times New Roman"/>
          <w:b/>
          <w:kern w:val="0"/>
          <w:lang w:eastAsia="ar-SA"/>
        </w:rPr>
      </w:pPr>
      <w:bookmarkStart w:id="0" w:name="_GoBack"/>
      <w:bookmarkEnd w:id="0"/>
      <w:r w:rsidRPr="00425766">
        <w:rPr>
          <w:rFonts w:eastAsia="Times New Roman"/>
          <w:b/>
          <w:noProof/>
          <w:kern w:val="0"/>
        </w:rPr>
        <w:drawing>
          <wp:inline distT="0" distB="0" distL="0" distR="0" wp14:anchorId="398F1B5E" wp14:editId="4219AC55">
            <wp:extent cx="676910" cy="810895"/>
            <wp:effectExtent l="0" t="0" r="8890" b="825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910" cy="810895"/>
                    </a:xfrm>
                    <a:prstGeom prst="rect">
                      <a:avLst/>
                    </a:prstGeom>
                    <a:noFill/>
                  </pic:spPr>
                </pic:pic>
              </a:graphicData>
            </a:graphic>
          </wp:inline>
        </w:drawing>
      </w:r>
    </w:p>
    <w:p w14:paraId="36AEE19B" w14:textId="77777777" w:rsidR="00784F5F" w:rsidRPr="00425766" w:rsidRDefault="00784F5F" w:rsidP="00784F5F">
      <w:pPr>
        <w:widowControl/>
        <w:tabs>
          <w:tab w:val="left" w:pos="1815"/>
          <w:tab w:val="left" w:pos="6799"/>
        </w:tabs>
        <w:jc w:val="center"/>
        <w:rPr>
          <w:rFonts w:eastAsia="Times New Roman"/>
          <w:b/>
          <w:kern w:val="0"/>
          <w:lang w:eastAsia="ar-SA"/>
        </w:rPr>
      </w:pPr>
    </w:p>
    <w:p w14:paraId="6E11BD37" w14:textId="77777777" w:rsidR="00784F5F" w:rsidRPr="00425766" w:rsidRDefault="00784F5F" w:rsidP="00784F5F">
      <w:pPr>
        <w:widowControl/>
        <w:tabs>
          <w:tab w:val="left" w:pos="1815"/>
          <w:tab w:val="left" w:pos="6799"/>
        </w:tabs>
        <w:jc w:val="center"/>
        <w:rPr>
          <w:rFonts w:eastAsia="Times New Roman"/>
          <w:kern w:val="0"/>
          <w:lang w:eastAsia="ar-SA"/>
        </w:rPr>
      </w:pPr>
      <w:r w:rsidRPr="00425766">
        <w:rPr>
          <w:rFonts w:eastAsia="Times New Roman"/>
          <w:b/>
          <w:kern w:val="0"/>
          <w:lang w:eastAsia="ar-SA"/>
        </w:rPr>
        <w:t xml:space="preserve">Materiál  predkladaný na zasadnutie  </w:t>
      </w:r>
    </w:p>
    <w:p w14:paraId="3994D2E1" w14:textId="77777777" w:rsidR="00784F5F" w:rsidRPr="00425766" w:rsidRDefault="00784F5F" w:rsidP="00784F5F">
      <w:pPr>
        <w:widowControl/>
        <w:pBdr>
          <w:bottom w:val="single" w:sz="8" w:space="1" w:color="000000"/>
        </w:pBdr>
        <w:tabs>
          <w:tab w:val="left" w:pos="1815"/>
          <w:tab w:val="left" w:pos="6799"/>
        </w:tabs>
        <w:jc w:val="center"/>
        <w:rPr>
          <w:rFonts w:eastAsia="Times New Roman"/>
          <w:b/>
          <w:kern w:val="0"/>
          <w:lang w:eastAsia="ar-SA"/>
        </w:rPr>
      </w:pPr>
      <w:r w:rsidRPr="00425766">
        <w:rPr>
          <w:rFonts w:eastAsia="Times New Roman"/>
          <w:b/>
          <w:kern w:val="0"/>
          <w:lang w:eastAsia="ar-SA"/>
        </w:rPr>
        <w:t>Mestského zastupiteľstva v Spišskej Belej</w:t>
      </w:r>
    </w:p>
    <w:p w14:paraId="1D6ACACC" w14:textId="6DA564AE" w:rsidR="00784F5F" w:rsidRPr="00425766" w:rsidRDefault="00784F5F" w:rsidP="00784F5F">
      <w:pPr>
        <w:widowControl/>
        <w:pBdr>
          <w:bottom w:val="single" w:sz="8" w:space="1" w:color="000000"/>
        </w:pBdr>
        <w:tabs>
          <w:tab w:val="left" w:pos="1815"/>
          <w:tab w:val="left" w:pos="6799"/>
        </w:tabs>
        <w:jc w:val="center"/>
        <w:rPr>
          <w:rFonts w:eastAsia="Times New Roman"/>
          <w:b/>
          <w:kern w:val="0"/>
          <w:lang w:eastAsia="ar-SA"/>
        </w:rPr>
      </w:pPr>
      <w:r w:rsidRPr="00425766">
        <w:rPr>
          <w:rFonts w:eastAsia="Times New Roman"/>
          <w:b/>
          <w:kern w:val="0"/>
          <w:lang w:eastAsia="ar-SA"/>
        </w:rPr>
        <w:t xml:space="preserve">dňa </w:t>
      </w:r>
      <w:r>
        <w:rPr>
          <w:rFonts w:eastAsia="Times New Roman"/>
          <w:b/>
          <w:kern w:val="0"/>
          <w:lang w:eastAsia="ar-SA"/>
        </w:rPr>
        <w:t xml:space="preserve">20. júna </w:t>
      </w:r>
      <w:r w:rsidRPr="00425766">
        <w:rPr>
          <w:rFonts w:eastAsia="Times New Roman"/>
          <w:b/>
          <w:kern w:val="0"/>
          <w:lang w:eastAsia="ar-SA"/>
        </w:rPr>
        <w:t xml:space="preserve"> 202</w:t>
      </w:r>
      <w:r>
        <w:rPr>
          <w:rFonts w:eastAsia="Times New Roman"/>
          <w:b/>
          <w:kern w:val="0"/>
          <w:lang w:eastAsia="ar-SA"/>
        </w:rPr>
        <w:t>4</w:t>
      </w:r>
    </w:p>
    <w:p w14:paraId="24F2AB69" w14:textId="77777777" w:rsidR="00784F5F" w:rsidRPr="00425766" w:rsidRDefault="00784F5F" w:rsidP="00784F5F">
      <w:pPr>
        <w:widowControl/>
        <w:pBdr>
          <w:bottom w:val="single" w:sz="8" w:space="1" w:color="000000"/>
        </w:pBdr>
        <w:tabs>
          <w:tab w:val="left" w:pos="1815"/>
          <w:tab w:val="left" w:pos="6799"/>
        </w:tabs>
        <w:jc w:val="center"/>
        <w:rPr>
          <w:rFonts w:eastAsia="Times New Roman"/>
          <w:b/>
          <w:kern w:val="0"/>
          <w:lang w:eastAsia="ar-SA"/>
        </w:rPr>
      </w:pPr>
      <w:r w:rsidRPr="00425766">
        <w:rPr>
          <w:rFonts w:eastAsia="Times New Roman"/>
          <w:b/>
          <w:kern w:val="0"/>
          <w:lang w:eastAsia="ar-SA"/>
        </w:rPr>
        <w:t>___________________________________________________________________________</w:t>
      </w:r>
    </w:p>
    <w:p w14:paraId="0CA69092" w14:textId="77777777" w:rsidR="00784F5F" w:rsidRPr="00425766" w:rsidRDefault="00784F5F" w:rsidP="00784F5F">
      <w:pPr>
        <w:widowControl/>
        <w:pBdr>
          <w:bottom w:val="single" w:sz="8" w:space="1" w:color="000000"/>
        </w:pBdr>
        <w:tabs>
          <w:tab w:val="left" w:pos="1815"/>
          <w:tab w:val="left" w:pos="6799"/>
        </w:tabs>
        <w:jc w:val="both"/>
        <w:rPr>
          <w:rFonts w:eastAsia="Times New Roman"/>
          <w:b/>
          <w:kern w:val="0"/>
          <w:lang w:eastAsia="ar-SA"/>
        </w:rPr>
      </w:pPr>
    </w:p>
    <w:tbl>
      <w:tblPr>
        <w:tblStyle w:val="Mriekatabuky"/>
        <w:tblW w:w="4994" w:type="pct"/>
        <w:tblInd w:w="-5" w:type="dxa"/>
        <w:tblLook w:val="04A0" w:firstRow="1" w:lastRow="0" w:firstColumn="1" w:lastColumn="0" w:noHBand="0" w:noVBand="1"/>
      </w:tblPr>
      <w:tblGrid>
        <w:gridCol w:w="3119"/>
        <w:gridCol w:w="5932"/>
      </w:tblGrid>
      <w:tr w:rsidR="00784F5F" w:rsidRPr="00425766" w14:paraId="7C08D788" w14:textId="77777777" w:rsidTr="008C4F85">
        <w:tc>
          <w:tcPr>
            <w:tcW w:w="1723" w:type="pct"/>
          </w:tcPr>
          <w:p w14:paraId="6D04F812" w14:textId="77777777" w:rsidR="00784F5F" w:rsidRPr="00425766" w:rsidRDefault="00784F5F" w:rsidP="008C4F85">
            <w:pPr>
              <w:widowControl/>
              <w:suppressAutoHyphens w:val="0"/>
              <w:jc w:val="both"/>
              <w:rPr>
                <w:rFonts w:eastAsia="Calibri"/>
                <w:b/>
                <w:kern w:val="0"/>
                <w:lang w:eastAsia="en-US"/>
              </w:rPr>
            </w:pPr>
            <w:r w:rsidRPr="00425766">
              <w:rPr>
                <w:rFonts w:eastAsia="Calibri"/>
                <w:b/>
                <w:kern w:val="0"/>
                <w:lang w:eastAsia="en-US"/>
              </w:rPr>
              <w:t>Názov materiálu:</w:t>
            </w:r>
          </w:p>
        </w:tc>
        <w:tc>
          <w:tcPr>
            <w:tcW w:w="3277" w:type="pct"/>
          </w:tcPr>
          <w:p w14:paraId="72ADABDE" w14:textId="77777777" w:rsidR="00784F5F" w:rsidRDefault="00784F5F" w:rsidP="008C4F85">
            <w:pPr>
              <w:pStyle w:val="Standard"/>
              <w:tabs>
                <w:tab w:val="left" w:pos="495"/>
              </w:tabs>
              <w:jc w:val="both"/>
              <w:rPr>
                <w:rFonts w:eastAsia="Calibri"/>
                <w:lang w:val="sk-SK"/>
              </w:rPr>
            </w:pPr>
            <w:r w:rsidRPr="00B6519C">
              <w:rPr>
                <w:rFonts w:eastAsia="Calibri"/>
                <w:lang w:val="sk-SK"/>
              </w:rPr>
              <w:t>Správ</w:t>
            </w:r>
            <w:r>
              <w:rPr>
                <w:rFonts w:eastAsia="Calibri"/>
                <w:lang w:val="sk-SK"/>
              </w:rPr>
              <w:t>y</w:t>
            </w:r>
            <w:r w:rsidRPr="00B6519C">
              <w:rPr>
                <w:rFonts w:eastAsia="Calibri"/>
                <w:lang w:val="sk-SK"/>
              </w:rPr>
              <w:t xml:space="preserve"> o vykonaných kontrolách  </w:t>
            </w:r>
          </w:p>
          <w:p w14:paraId="0BA7620E" w14:textId="632CC16E" w:rsidR="00784F5F" w:rsidRPr="00C15F52" w:rsidRDefault="00784F5F" w:rsidP="00784F5F">
            <w:pPr>
              <w:pStyle w:val="Standard"/>
              <w:tabs>
                <w:tab w:val="left" w:pos="495"/>
              </w:tabs>
              <w:jc w:val="both"/>
              <w:rPr>
                <w:rFonts w:eastAsia="Calibri"/>
                <w:kern w:val="0"/>
                <w:lang w:val="sk-SK" w:eastAsia="en-US"/>
              </w:rPr>
            </w:pPr>
            <w:r>
              <w:rPr>
                <w:rFonts w:eastAsia="Calibri"/>
                <w:kern w:val="0"/>
                <w:lang w:val="sk-SK" w:eastAsia="en-US"/>
              </w:rPr>
              <w:t>Kontrola hospodárenia v Mestskom podniku Spišská Belá, s. r. o. v roku 2023</w:t>
            </w:r>
          </w:p>
          <w:p w14:paraId="152AC751" w14:textId="43C0EFC5" w:rsidR="00784F5F" w:rsidRPr="00784F5F" w:rsidRDefault="00784F5F" w:rsidP="00784F5F">
            <w:pPr>
              <w:tabs>
                <w:tab w:val="left" w:pos="495"/>
              </w:tabs>
              <w:jc w:val="both"/>
              <w:rPr>
                <w:rFonts w:eastAsia="Andale Sans UI"/>
                <w:kern w:val="3"/>
                <w:lang w:val="en-US" w:eastAsia="ja-JP" w:bidi="fa-IR"/>
              </w:rPr>
            </w:pPr>
            <w:r>
              <w:rPr>
                <w:rFonts w:eastAsia="Calibri"/>
                <w:kern w:val="0"/>
                <w:lang w:eastAsia="en-US"/>
              </w:rPr>
              <w:t xml:space="preserve">Kontrola </w:t>
            </w:r>
            <w:r w:rsidRPr="00784F5F">
              <w:rPr>
                <w:rFonts w:eastAsia="Andale Sans UI"/>
                <w:kern w:val="3"/>
                <w:lang w:eastAsia="ja-JP" w:bidi="fa-IR"/>
              </w:rPr>
              <w:t>hospodárnos</w:t>
            </w:r>
            <w:r>
              <w:rPr>
                <w:rFonts w:eastAsia="Andale Sans UI"/>
                <w:kern w:val="3"/>
                <w:lang w:eastAsia="ja-JP" w:bidi="fa-IR"/>
              </w:rPr>
              <w:t xml:space="preserve">ti </w:t>
            </w:r>
            <w:r w:rsidRPr="00784F5F">
              <w:rPr>
                <w:rFonts w:eastAsia="Andale Sans UI"/>
                <w:kern w:val="3"/>
                <w:lang w:eastAsia="ja-JP" w:bidi="fa-IR"/>
              </w:rPr>
              <w:t>vynaložených nákladov na využívanie služobných mobilných telefónov v roku 2023.</w:t>
            </w:r>
          </w:p>
          <w:p w14:paraId="2F69770C" w14:textId="04C5E0E8" w:rsidR="00784F5F" w:rsidRPr="00784F5F" w:rsidRDefault="00784F5F" w:rsidP="00784F5F">
            <w:pPr>
              <w:tabs>
                <w:tab w:val="left" w:pos="495"/>
              </w:tabs>
              <w:autoSpaceDN w:val="0"/>
              <w:jc w:val="both"/>
              <w:rPr>
                <w:rFonts w:eastAsia="Andale Sans UI"/>
                <w:kern w:val="3"/>
                <w:lang w:eastAsia="ja-JP" w:bidi="fa-IR"/>
              </w:rPr>
            </w:pPr>
            <w:r>
              <w:rPr>
                <w:rFonts w:eastAsia="Calibri"/>
                <w:kern w:val="0"/>
                <w:lang w:eastAsia="en-US"/>
              </w:rPr>
              <w:t xml:space="preserve">Kontrola </w:t>
            </w:r>
            <w:r w:rsidRPr="00784F5F">
              <w:rPr>
                <w:rFonts w:eastAsia="Andale Sans UI"/>
                <w:kern w:val="3"/>
                <w:lang w:eastAsia="ja-JP" w:bidi="fa-IR"/>
              </w:rPr>
              <w:t>evidenci</w:t>
            </w:r>
            <w:r>
              <w:rPr>
                <w:rFonts w:eastAsia="Andale Sans UI"/>
                <w:kern w:val="3"/>
                <w:lang w:eastAsia="ja-JP" w:bidi="fa-IR"/>
              </w:rPr>
              <w:t>e</w:t>
            </w:r>
            <w:r w:rsidRPr="00784F5F">
              <w:rPr>
                <w:rFonts w:eastAsia="Andale Sans UI"/>
                <w:kern w:val="3"/>
                <w:lang w:eastAsia="ja-JP" w:bidi="fa-IR"/>
              </w:rPr>
              <w:t xml:space="preserve"> a</w:t>
            </w:r>
            <w:r>
              <w:rPr>
                <w:rFonts w:eastAsia="Andale Sans UI"/>
                <w:kern w:val="3"/>
                <w:lang w:eastAsia="ja-JP" w:bidi="fa-IR"/>
              </w:rPr>
              <w:t xml:space="preserve"> správnosti </w:t>
            </w:r>
            <w:r w:rsidRPr="00784F5F">
              <w:rPr>
                <w:rFonts w:eastAsia="Andale Sans UI"/>
                <w:kern w:val="3"/>
                <w:lang w:eastAsia="ja-JP" w:bidi="fa-IR"/>
              </w:rPr>
              <w:t>predpis</w:t>
            </w:r>
            <w:r>
              <w:rPr>
                <w:rFonts w:eastAsia="Andale Sans UI"/>
                <w:kern w:val="3"/>
                <w:lang w:eastAsia="ja-JP" w:bidi="fa-IR"/>
              </w:rPr>
              <w:t>u</w:t>
            </w:r>
            <w:r w:rsidRPr="00784F5F">
              <w:rPr>
                <w:rFonts w:eastAsia="Andale Sans UI"/>
                <w:kern w:val="3"/>
                <w:lang w:eastAsia="ja-JP" w:bidi="fa-IR"/>
              </w:rPr>
              <w:t xml:space="preserve"> zvýšeného nájomného v mestských bytoch</w:t>
            </w:r>
          </w:p>
        </w:tc>
      </w:tr>
      <w:tr w:rsidR="00784F5F" w:rsidRPr="00425766" w14:paraId="27A1C9E0" w14:textId="77777777" w:rsidTr="008C4F85">
        <w:tc>
          <w:tcPr>
            <w:tcW w:w="1723" w:type="pct"/>
          </w:tcPr>
          <w:p w14:paraId="7A4163E1" w14:textId="77777777" w:rsidR="00784F5F" w:rsidRPr="00425766" w:rsidRDefault="00784F5F" w:rsidP="008C4F85">
            <w:pPr>
              <w:widowControl/>
              <w:suppressAutoHyphens w:val="0"/>
              <w:jc w:val="both"/>
              <w:rPr>
                <w:rFonts w:eastAsia="Calibri"/>
                <w:b/>
                <w:kern w:val="0"/>
                <w:lang w:eastAsia="en-US"/>
              </w:rPr>
            </w:pPr>
            <w:r w:rsidRPr="00425766">
              <w:rPr>
                <w:rFonts w:eastAsia="Calibri"/>
                <w:b/>
                <w:kern w:val="0"/>
                <w:lang w:eastAsia="en-US"/>
              </w:rPr>
              <w:t xml:space="preserve">Obsah materiálu: </w:t>
            </w:r>
          </w:p>
        </w:tc>
        <w:tc>
          <w:tcPr>
            <w:tcW w:w="3277" w:type="pct"/>
          </w:tcPr>
          <w:p w14:paraId="39A1A919" w14:textId="77777777" w:rsidR="00784F5F" w:rsidRPr="00425766" w:rsidRDefault="00784F5F" w:rsidP="008C4F85">
            <w:pPr>
              <w:widowControl/>
              <w:numPr>
                <w:ilvl w:val="0"/>
                <w:numId w:val="1"/>
              </w:numPr>
              <w:suppressAutoHyphens w:val="0"/>
              <w:spacing w:line="256" w:lineRule="auto"/>
              <w:jc w:val="both"/>
              <w:rPr>
                <w:rFonts w:eastAsia="Calibri"/>
                <w:kern w:val="0"/>
                <w:lang w:eastAsia="en-US"/>
              </w:rPr>
            </w:pPr>
            <w:r w:rsidRPr="00425766">
              <w:rPr>
                <w:rFonts w:eastAsia="Calibri"/>
                <w:kern w:val="0"/>
                <w:lang w:eastAsia="en-US"/>
              </w:rPr>
              <w:t xml:space="preserve">Návrh na uznesenie </w:t>
            </w:r>
          </w:p>
          <w:p w14:paraId="09E0EF63" w14:textId="77777777" w:rsidR="00784F5F" w:rsidRPr="00425766" w:rsidRDefault="00784F5F" w:rsidP="008C4F85">
            <w:pPr>
              <w:widowControl/>
              <w:numPr>
                <w:ilvl w:val="0"/>
                <w:numId w:val="1"/>
              </w:numPr>
              <w:suppressAutoHyphens w:val="0"/>
              <w:spacing w:line="256" w:lineRule="auto"/>
              <w:jc w:val="both"/>
              <w:rPr>
                <w:rFonts w:eastAsia="Calibri"/>
                <w:kern w:val="0"/>
                <w:lang w:eastAsia="en-US"/>
              </w:rPr>
            </w:pPr>
            <w:r w:rsidRPr="00425766">
              <w:rPr>
                <w:rFonts w:eastAsia="Calibri"/>
                <w:kern w:val="0"/>
                <w:lang w:eastAsia="en-US"/>
              </w:rPr>
              <w:t>Dôvodová správa</w:t>
            </w:r>
          </w:p>
          <w:p w14:paraId="154C7180" w14:textId="77777777" w:rsidR="00784F5F" w:rsidRPr="00425766" w:rsidRDefault="00784F5F" w:rsidP="008C4F85">
            <w:pPr>
              <w:widowControl/>
              <w:numPr>
                <w:ilvl w:val="0"/>
                <w:numId w:val="1"/>
              </w:numPr>
              <w:suppressAutoHyphens w:val="0"/>
              <w:spacing w:line="256" w:lineRule="auto"/>
              <w:jc w:val="both"/>
              <w:rPr>
                <w:rFonts w:eastAsia="Calibri"/>
                <w:kern w:val="0"/>
                <w:lang w:eastAsia="en-US"/>
              </w:rPr>
            </w:pPr>
            <w:r w:rsidRPr="00425766">
              <w:rPr>
                <w:rFonts w:eastAsia="Calibri"/>
                <w:kern w:val="0"/>
                <w:lang w:eastAsia="en-US"/>
              </w:rPr>
              <w:t>Správy z vykonaných kontrol</w:t>
            </w:r>
          </w:p>
          <w:p w14:paraId="30AAE862" w14:textId="77777777" w:rsidR="00784F5F" w:rsidRPr="00425766" w:rsidRDefault="00784F5F" w:rsidP="008C4F85">
            <w:pPr>
              <w:widowControl/>
              <w:suppressAutoHyphens w:val="0"/>
              <w:jc w:val="both"/>
              <w:rPr>
                <w:rFonts w:eastAsia="Calibri"/>
                <w:kern w:val="0"/>
                <w:lang w:eastAsia="en-US"/>
              </w:rPr>
            </w:pPr>
          </w:p>
        </w:tc>
      </w:tr>
      <w:tr w:rsidR="00784F5F" w:rsidRPr="00425766" w14:paraId="77DFCAAE" w14:textId="77777777" w:rsidTr="008C4F85">
        <w:tc>
          <w:tcPr>
            <w:tcW w:w="1723" w:type="pct"/>
          </w:tcPr>
          <w:p w14:paraId="04CA5ACA" w14:textId="77777777" w:rsidR="00784F5F" w:rsidRPr="00425766" w:rsidRDefault="00784F5F" w:rsidP="008C4F85">
            <w:pPr>
              <w:widowControl/>
              <w:suppressAutoHyphens w:val="0"/>
              <w:jc w:val="both"/>
              <w:rPr>
                <w:rFonts w:eastAsia="Calibri"/>
                <w:b/>
                <w:kern w:val="0"/>
                <w:lang w:eastAsia="en-US"/>
              </w:rPr>
            </w:pPr>
            <w:r w:rsidRPr="00425766">
              <w:rPr>
                <w:rFonts w:eastAsia="Calibri"/>
                <w:b/>
                <w:kern w:val="0"/>
                <w:lang w:eastAsia="en-US"/>
              </w:rPr>
              <w:t xml:space="preserve">Návrh na uznesenie: </w:t>
            </w:r>
          </w:p>
        </w:tc>
        <w:tc>
          <w:tcPr>
            <w:tcW w:w="3277" w:type="pct"/>
          </w:tcPr>
          <w:p w14:paraId="6209A4A3" w14:textId="77777777" w:rsidR="00784F5F" w:rsidRPr="00425766" w:rsidRDefault="00784F5F" w:rsidP="008C4F85">
            <w:pPr>
              <w:widowControl/>
              <w:suppressAutoHyphens w:val="0"/>
              <w:jc w:val="both"/>
              <w:rPr>
                <w:rFonts w:eastAsia="Calibri"/>
                <w:b/>
                <w:kern w:val="0"/>
                <w:lang w:eastAsia="en-US"/>
              </w:rPr>
            </w:pPr>
            <w:r w:rsidRPr="00425766">
              <w:rPr>
                <w:rFonts w:eastAsia="Calibri"/>
                <w:b/>
                <w:kern w:val="0"/>
                <w:lang w:eastAsia="en-US"/>
              </w:rPr>
              <w:t>Uznesenie č. ........./202</w:t>
            </w:r>
            <w:r>
              <w:rPr>
                <w:rFonts w:eastAsia="Calibri"/>
                <w:b/>
                <w:kern w:val="0"/>
                <w:lang w:eastAsia="en-US"/>
              </w:rPr>
              <w:t>4</w:t>
            </w:r>
          </w:p>
          <w:p w14:paraId="26FDF654" w14:textId="77777777" w:rsidR="00784F5F" w:rsidRPr="00425766" w:rsidRDefault="00784F5F" w:rsidP="008C4F85">
            <w:pPr>
              <w:widowControl/>
              <w:suppressAutoHyphens w:val="0"/>
              <w:autoSpaceDE w:val="0"/>
              <w:autoSpaceDN w:val="0"/>
              <w:adjustRightInd w:val="0"/>
              <w:spacing w:line="259" w:lineRule="auto"/>
              <w:rPr>
                <w:rFonts w:eastAsiaTheme="minorHAnsi"/>
                <w:kern w:val="0"/>
                <w:lang w:eastAsia="en-US"/>
              </w:rPr>
            </w:pPr>
            <w:r w:rsidRPr="00425766">
              <w:rPr>
                <w:rFonts w:eastAsia="Calibri"/>
                <w:kern w:val="0"/>
                <w:lang w:eastAsia="en-US"/>
              </w:rPr>
              <w:t>Mestské   zastupiteľstvo   v    Spišskej   Belej</w:t>
            </w:r>
            <w:r w:rsidRPr="00425766">
              <w:rPr>
                <w:rFonts w:eastAsiaTheme="minorHAnsi"/>
                <w:kern w:val="0"/>
                <w:lang w:eastAsia="en-US"/>
              </w:rPr>
              <w:t xml:space="preserve">  berie na vedo</w:t>
            </w:r>
            <w:r>
              <w:rPr>
                <w:rFonts w:eastAsiaTheme="minorHAnsi"/>
                <w:kern w:val="0"/>
                <w:lang w:eastAsia="en-US"/>
              </w:rPr>
              <w:t xml:space="preserve">mie správu </w:t>
            </w:r>
            <w:r w:rsidRPr="00C94F7D">
              <w:t>o výsledk</w:t>
            </w:r>
            <w:r>
              <w:t>u</w:t>
            </w:r>
            <w:r w:rsidRPr="00C94F7D">
              <w:t xml:space="preserve"> kontrol</w:t>
            </w:r>
          </w:p>
        </w:tc>
      </w:tr>
      <w:tr w:rsidR="00784F5F" w:rsidRPr="00425766" w14:paraId="3E2BE150" w14:textId="77777777" w:rsidTr="008C4F85">
        <w:tc>
          <w:tcPr>
            <w:tcW w:w="1723" w:type="pct"/>
          </w:tcPr>
          <w:p w14:paraId="5F6F7111" w14:textId="77777777" w:rsidR="00784F5F" w:rsidRPr="00425766" w:rsidRDefault="00784F5F" w:rsidP="008C4F85">
            <w:pPr>
              <w:widowControl/>
              <w:suppressAutoHyphens w:val="0"/>
              <w:jc w:val="both"/>
              <w:rPr>
                <w:rFonts w:eastAsia="Calibri"/>
                <w:b/>
                <w:kern w:val="0"/>
                <w:lang w:eastAsia="en-US"/>
              </w:rPr>
            </w:pPr>
            <w:r w:rsidRPr="00425766">
              <w:rPr>
                <w:rFonts w:eastAsia="Calibri"/>
                <w:b/>
                <w:kern w:val="0"/>
                <w:lang w:eastAsia="en-US"/>
              </w:rPr>
              <w:t xml:space="preserve">Stanovisko komisie: </w:t>
            </w:r>
          </w:p>
        </w:tc>
        <w:tc>
          <w:tcPr>
            <w:tcW w:w="3277" w:type="pct"/>
          </w:tcPr>
          <w:p w14:paraId="51517CC1" w14:textId="77777777" w:rsidR="00784F5F" w:rsidRPr="00425766" w:rsidRDefault="00784F5F" w:rsidP="008C4F85">
            <w:pPr>
              <w:widowControl/>
              <w:suppressAutoHyphens w:val="0"/>
              <w:jc w:val="both"/>
              <w:rPr>
                <w:rFonts w:eastAsia="Calibri"/>
                <w:kern w:val="0"/>
                <w:lang w:eastAsia="en-US"/>
              </w:rPr>
            </w:pPr>
            <w:r w:rsidRPr="00425766">
              <w:rPr>
                <w:rFonts w:eastAsia="Calibri"/>
                <w:kern w:val="0"/>
                <w:lang w:eastAsia="en-US"/>
              </w:rPr>
              <w:t>-</w:t>
            </w:r>
          </w:p>
        </w:tc>
      </w:tr>
      <w:tr w:rsidR="00784F5F" w:rsidRPr="00425766" w14:paraId="69472EEE" w14:textId="77777777" w:rsidTr="008C4F85">
        <w:tc>
          <w:tcPr>
            <w:tcW w:w="1723" w:type="pct"/>
          </w:tcPr>
          <w:p w14:paraId="346F94CD" w14:textId="77777777" w:rsidR="00784F5F" w:rsidRPr="00425766" w:rsidRDefault="00784F5F" w:rsidP="008C4F85">
            <w:pPr>
              <w:widowControl/>
              <w:suppressAutoHyphens w:val="0"/>
              <w:jc w:val="both"/>
              <w:rPr>
                <w:rFonts w:eastAsia="Calibri"/>
                <w:b/>
                <w:kern w:val="0"/>
                <w:lang w:eastAsia="en-US"/>
              </w:rPr>
            </w:pPr>
            <w:r w:rsidRPr="00425766">
              <w:rPr>
                <w:rFonts w:eastAsia="Calibri"/>
                <w:b/>
                <w:kern w:val="0"/>
                <w:lang w:eastAsia="en-US"/>
              </w:rPr>
              <w:t xml:space="preserve">Spracovateľ materiálu: </w:t>
            </w:r>
          </w:p>
        </w:tc>
        <w:tc>
          <w:tcPr>
            <w:tcW w:w="3277" w:type="pct"/>
          </w:tcPr>
          <w:p w14:paraId="37AC550A" w14:textId="77777777" w:rsidR="00784F5F" w:rsidRPr="00425766" w:rsidRDefault="00784F5F" w:rsidP="008C4F85">
            <w:pPr>
              <w:widowControl/>
              <w:suppressAutoHyphens w:val="0"/>
              <w:jc w:val="both"/>
              <w:rPr>
                <w:rFonts w:eastAsia="Calibri"/>
                <w:kern w:val="0"/>
                <w:lang w:eastAsia="en-US"/>
              </w:rPr>
            </w:pPr>
            <w:r w:rsidRPr="00425766">
              <w:rPr>
                <w:rFonts w:eastAsia="Calibri"/>
                <w:kern w:val="0"/>
                <w:lang w:eastAsia="en-US"/>
              </w:rPr>
              <w:t>Ing. Tomalová – hlavná kontrolórka</w:t>
            </w:r>
          </w:p>
        </w:tc>
      </w:tr>
      <w:tr w:rsidR="00784F5F" w:rsidRPr="00425766" w14:paraId="6C12A8CF" w14:textId="77777777" w:rsidTr="008C4F85">
        <w:tc>
          <w:tcPr>
            <w:tcW w:w="1723" w:type="pct"/>
          </w:tcPr>
          <w:p w14:paraId="6AE0598B" w14:textId="77777777" w:rsidR="00784F5F" w:rsidRPr="00425766" w:rsidRDefault="00784F5F" w:rsidP="008C4F85">
            <w:pPr>
              <w:widowControl/>
              <w:suppressAutoHyphens w:val="0"/>
              <w:jc w:val="both"/>
              <w:rPr>
                <w:rFonts w:eastAsia="Calibri"/>
                <w:b/>
                <w:kern w:val="0"/>
                <w:lang w:eastAsia="en-US"/>
              </w:rPr>
            </w:pPr>
            <w:r w:rsidRPr="00425766">
              <w:rPr>
                <w:rFonts w:eastAsia="Calibri"/>
                <w:b/>
                <w:kern w:val="0"/>
                <w:lang w:eastAsia="en-US"/>
              </w:rPr>
              <w:t xml:space="preserve">Materiál predkladá: </w:t>
            </w:r>
          </w:p>
        </w:tc>
        <w:tc>
          <w:tcPr>
            <w:tcW w:w="3277" w:type="pct"/>
          </w:tcPr>
          <w:p w14:paraId="3BD817B7" w14:textId="77777777" w:rsidR="00784F5F" w:rsidRPr="00425766" w:rsidRDefault="00784F5F" w:rsidP="008C4F85">
            <w:pPr>
              <w:widowControl/>
              <w:suppressAutoHyphens w:val="0"/>
              <w:jc w:val="both"/>
              <w:rPr>
                <w:rFonts w:eastAsia="Calibri"/>
                <w:kern w:val="0"/>
                <w:lang w:eastAsia="en-US"/>
              </w:rPr>
            </w:pPr>
            <w:r w:rsidRPr="00425766">
              <w:rPr>
                <w:rFonts w:eastAsia="Calibri"/>
                <w:kern w:val="0"/>
                <w:lang w:eastAsia="en-US"/>
              </w:rPr>
              <w:t>Ing. Tomalová – hlavná kontrolórka</w:t>
            </w:r>
          </w:p>
        </w:tc>
      </w:tr>
      <w:tr w:rsidR="00784F5F" w:rsidRPr="00425766" w14:paraId="18FD8639" w14:textId="77777777" w:rsidTr="008C4F85">
        <w:tc>
          <w:tcPr>
            <w:tcW w:w="1723" w:type="pct"/>
          </w:tcPr>
          <w:p w14:paraId="22E30B88" w14:textId="77777777" w:rsidR="00784F5F" w:rsidRPr="00425766" w:rsidRDefault="00784F5F" w:rsidP="008C4F85">
            <w:pPr>
              <w:widowControl/>
              <w:suppressAutoHyphens w:val="0"/>
              <w:jc w:val="both"/>
              <w:rPr>
                <w:rFonts w:eastAsia="Calibri"/>
                <w:b/>
                <w:kern w:val="0"/>
                <w:lang w:eastAsia="en-US"/>
              </w:rPr>
            </w:pPr>
            <w:r w:rsidRPr="00425766">
              <w:rPr>
                <w:rFonts w:eastAsia="Calibri"/>
                <w:b/>
                <w:kern w:val="0"/>
                <w:lang w:eastAsia="en-US"/>
              </w:rPr>
              <w:t xml:space="preserve">K bodu programu: </w:t>
            </w:r>
          </w:p>
        </w:tc>
        <w:tc>
          <w:tcPr>
            <w:tcW w:w="3277" w:type="pct"/>
          </w:tcPr>
          <w:p w14:paraId="7B3E1D78" w14:textId="6E48E5FF" w:rsidR="00784F5F" w:rsidRPr="00425766" w:rsidRDefault="00443992" w:rsidP="008C4F85">
            <w:pPr>
              <w:widowControl/>
              <w:suppressAutoHyphens w:val="0"/>
              <w:jc w:val="both"/>
              <w:rPr>
                <w:rFonts w:eastAsia="Calibri"/>
                <w:kern w:val="0"/>
                <w:lang w:eastAsia="en-US"/>
              </w:rPr>
            </w:pPr>
            <w:r>
              <w:rPr>
                <w:rFonts w:eastAsia="Calibri"/>
                <w:kern w:val="0"/>
                <w:lang w:eastAsia="en-US"/>
              </w:rPr>
              <w:t>28.</w:t>
            </w:r>
          </w:p>
        </w:tc>
      </w:tr>
      <w:tr w:rsidR="00784F5F" w:rsidRPr="00425766" w14:paraId="023AFB39" w14:textId="77777777" w:rsidTr="008C4F85">
        <w:tc>
          <w:tcPr>
            <w:tcW w:w="1723" w:type="pct"/>
          </w:tcPr>
          <w:p w14:paraId="5112F579" w14:textId="77777777" w:rsidR="00784F5F" w:rsidRPr="00425766" w:rsidRDefault="00784F5F" w:rsidP="008C4F85">
            <w:pPr>
              <w:widowControl/>
              <w:suppressAutoHyphens w:val="0"/>
              <w:jc w:val="both"/>
              <w:rPr>
                <w:rFonts w:eastAsia="Calibri"/>
                <w:b/>
                <w:kern w:val="0"/>
                <w:lang w:eastAsia="en-US"/>
              </w:rPr>
            </w:pPr>
            <w:r w:rsidRPr="00425766">
              <w:rPr>
                <w:rFonts w:eastAsia="Calibri"/>
                <w:b/>
                <w:kern w:val="0"/>
                <w:lang w:eastAsia="en-US"/>
              </w:rPr>
              <w:t>Počet strán:</w:t>
            </w:r>
          </w:p>
        </w:tc>
        <w:tc>
          <w:tcPr>
            <w:tcW w:w="3277" w:type="pct"/>
          </w:tcPr>
          <w:p w14:paraId="5F6008B5" w14:textId="67336701" w:rsidR="00784F5F" w:rsidRPr="00425766" w:rsidRDefault="00443992" w:rsidP="008C4F85">
            <w:pPr>
              <w:widowControl/>
              <w:suppressAutoHyphens w:val="0"/>
              <w:jc w:val="both"/>
              <w:rPr>
                <w:rFonts w:eastAsia="Calibri"/>
                <w:kern w:val="0"/>
                <w:lang w:eastAsia="en-US"/>
              </w:rPr>
            </w:pPr>
            <w:r>
              <w:rPr>
                <w:rFonts w:eastAsia="Calibri"/>
                <w:kern w:val="0"/>
                <w:lang w:eastAsia="en-US"/>
              </w:rPr>
              <w:t>4</w:t>
            </w:r>
          </w:p>
        </w:tc>
      </w:tr>
      <w:tr w:rsidR="00784F5F" w:rsidRPr="00425766" w14:paraId="59CD9FEB" w14:textId="77777777" w:rsidTr="008C4F85">
        <w:tc>
          <w:tcPr>
            <w:tcW w:w="1723" w:type="pct"/>
          </w:tcPr>
          <w:p w14:paraId="2BC469AA" w14:textId="77777777" w:rsidR="00784F5F" w:rsidRPr="00425766" w:rsidRDefault="00784F5F" w:rsidP="008C4F85">
            <w:pPr>
              <w:widowControl/>
              <w:suppressAutoHyphens w:val="0"/>
              <w:jc w:val="both"/>
              <w:rPr>
                <w:rFonts w:eastAsia="Calibri"/>
                <w:b/>
                <w:kern w:val="0"/>
                <w:lang w:eastAsia="en-US"/>
              </w:rPr>
            </w:pPr>
            <w:r w:rsidRPr="00425766">
              <w:rPr>
                <w:rFonts w:eastAsia="Calibri"/>
                <w:b/>
                <w:kern w:val="0"/>
                <w:lang w:eastAsia="en-US"/>
              </w:rPr>
              <w:t>Prílohy:</w:t>
            </w:r>
          </w:p>
        </w:tc>
        <w:tc>
          <w:tcPr>
            <w:tcW w:w="3277" w:type="pct"/>
            <w:tcBorders>
              <w:bottom w:val="single" w:sz="4" w:space="0" w:color="auto"/>
            </w:tcBorders>
          </w:tcPr>
          <w:p w14:paraId="29165BD4" w14:textId="77777777" w:rsidR="00784F5F" w:rsidRPr="00425766" w:rsidRDefault="00784F5F" w:rsidP="008C4F85">
            <w:pPr>
              <w:widowControl/>
              <w:suppressAutoHyphens w:val="0"/>
              <w:jc w:val="both"/>
              <w:rPr>
                <w:rFonts w:eastAsia="Calibri"/>
                <w:kern w:val="0"/>
                <w:lang w:eastAsia="en-US"/>
              </w:rPr>
            </w:pPr>
            <w:r>
              <w:rPr>
                <w:rFonts w:eastAsia="Calibri"/>
                <w:kern w:val="0"/>
                <w:lang w:eastAsia="en-US"/>
              </w:rPr>
              <w:t>Správa</w:t>
            </w:r>
          </w:p>
        </w:tc>
      </w:tr>
      <w:tr w:rsidR="00784F5F" w:rsidRPr="00425766" w14:paraId="19835F18" w14:textId="77777777" w:rsidTr="008C4F85">
        <w:tc>
          <w:tcPr>
            <w:tcW w:w="1723" w:type="pct"/>
            <w:tcBorders>
              <w:bottom w:val="single" w:sz="4" w:space="0" w:color="auto"/>
              <w:right w:val="nil"/>
            </w:tcBorders>
          </w:tcPr>
          <w:p w14:paraId="407CD449" w14:textId="77777777" w:rsidR="00784F5F" w:rsidRDefault="00784F5F" w:rsidP="008C4F85">
            <w:pPr>
              <w:widowControl/>
              <w:suppressAutoHyphens w:val="0"/>
              <w:jc w:val="both"/>
              <w:rPr>
                <w:rFonts w:eastAsia="Calibri"/>
                <w:b/>
                <w:kern w:val="0"/>
                <w:lang w:eastAsia="en-US"/>
              </w:rPr>
            </w:pPr>
            <w:r>
              <w:rPr>
                <w:rFonts w:eastAsia="Calibri"/>
                <w:b/>
                <w:kern w:val="0"/>
                <w:lang w:eastAsia="en-US"/>
              </w:rPr>
              <w:t>Dôvodová správa:</w:t>
            </w:r>
          </w:p>
          <w:p w14:paraId="0FE8CD2A" w14:textId="77777777" w:rsidR="00784F5F" w:rsidRDefault="00784F5F" w:rsidP="008C4F85">
            <w:pPr>
              <w:widowControl/>
              <w:suppressAutoHyphens w:val="0"/>
              <w:jc w:val="both"/>
              <w:rPr>
                <w:rFonts w:eastAsia="Calibri"/>
                <w:b/>
                <w:kern w:val="0"/>
                <w:lang w:eastAsia="en-US"/>
              </w:rPr>
            </w:pPr>
          </w:p>
          <w:p w14:paraId="71137329" w14:textId="77777777" w:rsidR="00784F5F" w:rsidRPr="00425766" w:rsidRDefault="00784F5F" w:rsidP="008C4F85">
            <w:pPr>
              <w:widowControl/>
              <w:suppressAutoHyphens w:val="0"/>
              <w:jc w:val="both"/>
              <w:rPr>
                <w:rFonts w:eastAsia="Calibri"/>
                <w:b/>
                <w:kern w:val="0"/>
                <w:lang w:eastAsia="en-US"/>
              </w:rPr>
            </w:pPr>
          </w:p>
          <w:p w14:paraId="1235E0DC" w14:textId="77777777" w:rsidR="00784F5F" w:rsidRPr="00425766" w:rsidRDefault="00784F5F" w:rsidP="008C4F85">
            <w:pPr>
              <w:widowControl/>
              <w:suppressAutoHyphens w:val="0"/>
              <w:jc w:val="both"/>
              <w:rPr>
                <w:rFonts w:eastAsia="Calibri"/>
                <w:b/>
                <w:kern w:val="0"/>
                <w:lang w:eastAsia="en-US"/>
              </w:rPr>
            </w:pPr>
          </w:p>
          <w:p w14:paraId="3800203A" w14:textId="77777777" w:rsidR="00784F5F" w:rsidRPr="00425766" w:rsidRDefault="00784F5F" w:rsidP="008C4F85">
            <w:pPr>
              <w:widowControl/>
              <w:suppressAutoHyphens w:val="0"/>
              <w:jc w:val="both"/>
              <w:rPr>
                <w:rFonts w:eastAsia="Calibri"/>
                <w:b/>
                <w:kern w:val="0"/>
                <w:lang w:eastAsia="en-US"/>
              </w:rPr>
            </w:pPr>
          </w:p>
          <w:p w14:paraId="77E135C5" w14:textId="77777777" w:rsidR="00784F5F" w:rsidRPr="00425766" w:rsidRDefault="00784F5F" w:rsidP="008C4F85">
            <w:pPr>
              <w:widowControl/>
              <w:suppressAutoHyphens w:val="0"/>
              <w:jc w:val="both"/>
              <w:rPr>
                <w:rFonts w:eastAsia="Calibri"/>
                <w:b/>
                <w:kern w:val="0"/>
                <w:lang w:eastAsia="en-US"/>
              </w:rPr>
            </w:pPr>
          </w:p>
          <w:p w14:paraId="15D8CB91" w14:textId="77777777" w:rsidR="00784F5F" w:rsidRPr="00425766" w:rsidRDefault="00784F5F" w:rsidP="008C4F85">
            <w:pPr>
              <w:widowControl/>
              <w:suppressAutoHyphens w:val="0"/>
              <w:jc w:val="both"/>
              <w:rPr>
                <w:rFonts w:eastAsia="Calibri"/>
                <w:b/>
                <w:kern w:val="0"/>
                <w:lang w:eastAsia="en-US"/>
              </w:rPr>
            </w:pPr>
          </w:p>
          <w:p w14:paraId="39063D09" w14:textId="77777777" w:rsidR="00784F5F" w:rsidRPr="00425766" w:rsidRDefault="00784F5F" w:rsidP="008C4F85">
            <w:pPr>
              <w:widowControl/>
              <w:suppressAutoHyphens w:val="0"/>
              <w:jc w:val="both"/>
              <w:rPr>
                <w:rFonts w:eastAsia="Calibri"/>
                <w:b/>
                <w:kern w:val="0"/>
                <w:lang w:eastAsia="en-US"/>
              </w:rPr>
            </w:pPr>
          </w:p>
          <w:p w14:paraId="3F60676C" w14:textId="77777777" w:rsidR="00784F5F" w:rsidRPr="00425766" w:rsidRDefault="00784F5F" w:rsidP="008C4F85">
            <w:pPr>
              <w:widowControl/>
              <w:suppressAutoHyphens w:val="0"/>
              <w:jc w:val="both"/>
              <w:rPr>
                <w:rFonts w:eastAsia="Calibri"/>
                <w:b/>
                <w:kern w:val="0"/>
                <w:lang w:eastAsia="en-US"/>
              </w:rPr>
            </w:pPr>
          </w:p>
          <w:p w14:paraId="706C7C50" w14:textId="77777777" w:rsidR="00784F5F" w:rsidRPr="00425766" w:rsidRDefault="00784F5F" w:rsidP="008C4F85">
            <w:pPr>
              <w:widowControl/>
              <w:suppressAutoHyphens w:val="0"/>
              <w:jc w:val="both"/>
              <w:rPr>
                <w:rFonts w:eastAsia="Calibri"/>
                <w:b/>
                <w:kern w:val="0"/>
                <w:lang w:eastAsia="en-US"/>
              </w:rPr>
            </w:pPr>
          </w:p>
          <w:p w14:paraId="0CEA005A" w14:textId="77777777" w:rsidR="00784F5F" w:rsidRPr="00425766" w:rsidRDefault="00784F5F" w:rsidP="008C4F85">
            <w:pPr>
              <w:widowControl/>
              <w:suppressAutoHyphens w:val="0"/>
              <w:jc w:val="both"/>
              <w:rPr>
                <w:rFonts w:eastAsia="Calibri"/>
                <w:b/>
                <w:kern w:val="0"/>
                <w:lang w:eastAsia="en-US"/>
              </w:rPr>
            </w:pPr>
          </w:p>
          <w:p w14:paraId="081C36C5" w14:textId="77777777" w:rsidR="00784F5F" w:rsidRPr="00425766" w:rsidRDefault="00784F5F" w:rsidP="008C4F85">
            <w:pPr>
              <w:widowControl/>
              <w:suppressAutoHyphens w:val="0"/>
              <w:jc w:val="both"/>
              <w:rPr>
                <w:rFonts w:eastAsia="Calibri"/>
                <w:b/>
                <w:kern w:val="0"/>
                <w:lang w:eastAsia="en-US"/>
              </w:rPr>
            </w:pPr>
          </w:p>
        </w:tc>
        <w:tc>
          <w:tcPr>
            <w:tcW w:w="3277" w:type="pct"/>
            <w:tcBorders>
              <w:left w:val="nil"/>
              <w:bottom w:val="single" w:sz="4" w:space="0" w:color="auto"/>
            </w:tcBorders>
          </w:tcPr>
          <w:p w14:paraId="3D6DCE47" w14:textId="77777777" w:rsidR="00784F5F" w:rsidRPr="0070741E" w:rsidRDefault="00784F5F" w:rsidP="008C4F85">
            <w:pPr>
              <w:tabs>
                <w:tab w:val="left" w:pos="495"/>
              </w:tabs>
              <w:autoSpaceDN w:val="0"/>
              <w:spacing w:before="240"/>
              <w:jc w:val="both"/>
              <w:rPr>
                <w:rFonts w:eastAsiaTheme="minorHAnsi"/>
                <w:kern w:val="0"/>
                <w:lang w:eastAsia="en-US"/>
              </w:rPr>
            </w:pPr>
            <w:r w:rsidRPr="00425766">
              <w:rPr>
                <w:rFonts w:eastAsiaTheme="minorHAnsi"/>
                <w:kern w:val="0"/>
                <w:lang w:eastAsia="en-US"/>
              </w:rPr>
              <w:t xml:space="preserve"> </w:t>
            </w:r>
            <w:r>
              <w:rPr>
                <w:rFonts w:eastAsiaTheme="minorHAnsi"/>
                <w:kern w:val="0"/>
                <w:lang w:eastAsia="en-US"/>
              </w:rPr>
              <w:t xml:space="preserve">     </w:t>
            </w:r>
            <w:r w:rsidRPr="0070741E">
              <w:rPr>
                <w:rFonts w:eastAsiaTheme="minorHAnsi"/>
                <w:kern w:val="0"/>
                <w:lang w:eastAsia="en-US"/>
              </w:rPr>
              <w:t xml:space="preserve">V zmysle ustanovenia § 18f ods. 1 písm. d), zákona č.  369/1990 Zb. o obecnom zriadení v znení neskorších predpisov, je úlohou hlavného kontrolóra predložiť správu o výsledkoch kontroly priamo mestskému zastupiteľstvu na jeho najbližšom zasadnutí. </w:t>
            </w:r>
          </w:p>
          <w:p w14:paraId="6ADC1E4D" w14:textId="77777777" w:rsidR="00784F5F" w:rsidRPr="00425766" w:rsidRDefault="00784F5F" w:rsidP="008C4F85">
            <w:pPr>
              <w:tabs>
                <w:tab w:val="left" w:pos="495"/>
              </w:tabs>
              <w:autoSpaceDN w:val="0"/>
              <w:jc w:val="both"/>
            </w:pPr>
            <w:r>
              <w:t xml:space="preserve">     </w:t>
            </w:r>
            <w:r w:rsidRPr="0070741E">
              <w:rPr>
                <w:rFonts w:eastAsiaTheme="minorHAnsi"/>
                <w:kern w:val="0"/>
                <w:lang w:eastAsia="en-US"/>
              </w:rPr>
              <w:t>Kontrol</w:t>
            </w:r>
            <w:r>
              <w:rPr>
                <w:rFonts w:eastAsiaTheme="minorHAnsi"/>
                <w:kern w:val="0"/>
                <w:lang w:eastAsia="en-US"/>
              </w:rPr>
              <w:t>y</w:t>
            </w:r>
            <w:r w:rsidRPr="0070741E">
              <w:rPr>
                <w:rFonts w:eastAsiaTheme="minorHAnsi"/>
                <w:kern w:val="0"/>
                <w:lang w:eastAsia="en-US"/>
              </w:rPr>
              <w:t xml:space="preserve"> bol</w:t>
            </w:r>
            <w:r>
              <w:rPr>
                <w:rFonts w:eastAsiaTheme="minorHAnsi"/>
                <w:kern w:val="0"/>
                <w:lang w:eastAsia="en-US"/>
              </w:rPr>
              <w:t>i</w:t>
            </w:r>
            <w:r w:rsidRPr="0070741E">
              <w:rPr>
                <w:rFonts w:eastAsiaTheme="minorHAnsi"/>
                <w:kern w:val="0"/>
                <w:lang w:eastAsia="en-US"/>
              </w:rPr>
              <w:t xml:space="preserve"> vykonan</w:t>
            </w:r>
            <w:r>
              <w:rPr>
                <w:rFonts w:eastAsiaTheme="minorHAnsi"/>
                <w:kern w:val="0"/>
                <w:lang w:eastAsia="en-US"/>
              </w:rPr>
              <w:t>é</w:t>
            </w:r>
            <w:r w:rsidRPr="0070741E">
              <w:rPr>
                <w:rFonts w:eastAsiaTheme="minorHAnsi"/>
                <w:kern w:val="0"/>
                <w:lang w:eastAsia="en-US"/>
              </w:rPr>
              <w:t xml:space="preserve"> na základe schváleného plánu kontrolnej činnosti </w:t>
            </w:r>
            <w:r>
              <w:rPr>
                <w:rFonts w:eastAsiaTheme="minorHAnsi"/>
                <w:kern w:val="0"/>
                <w:lang w:eastAsia="en-US"/>
              </w:rPr>
              <w:t>a zákona</w:t>
            </w:r>
            <w:r w:rsidRPr="0070741E">
              <w:rPr>
                <w:rFonts w:eastAsiaTheme="minorHAnsi"/>
                <w:kern w:val="0"/>
                <w:lang w:eastAsia="en-US"/>
              </w:rPr>
              <w:t>. Dokumentácia z ukončených kontrol je k dispozícií u hlavnej kontrolórky pre potreby poslancov mestského zastupiteľstva.</w:t>
            </w:r>
          </w:p>
        </w:tc>
      </w:tr>
      <w:tr w:rsidR="00784F5F" w:rsidRPr="00425766" w14:paraId="46F17E82" w14:textId="77777777" w:rsidTr="008C4F85">
        <w:tc>
          <w:tcPr>
            <w:tcW w:w="1723" w:type="pct"/>
            <w:tcBorders>
              <w:top w:val="single" w:sz="4" w:space="0" w:color="auto"/>
            </w:tcBorders>
          </w:tcPr>
          <w:p w14:paraId="5FE3DD94" w14:textId="77777777" w:rsidR="00784F5F" w:rsidRPr="00425766" w:rsidRDefault="00784F5F" w:rsidP="008C4F85">
            <w:pPr>
              <w:widowControl/>
              <w:suppressAutoHyphens w:val="0"/>
              <w:rPr>
                <w:rFonts w:eastAsia="Calibri"/>
                <w:b/>
                <w:kern w:val="0"/>
                <w:lang w:eastAsia="en-US"/>
              </w:rPr>
            </w:pPr>
            <w:r w:rsidRPr="00425766">
              <w:rPr>
                <w:rFonts w:eastAsia="Calibri"/>
                <w:b/>
                <w:kern w:val="0"/>
                <w:lang w:eastAsia="en-US"/>
              </w:rPr>
              <w:t>Meno, priezvisko, funkcia  a podpis predkladateľa:</w:t>
            </w:r>
          </w:p>
        </w:tc>
        <w:tc>
          <w:tcPr>
            <w:tcW w:w="3277" w:type="pct"/>
            <w:tcBorders>
              <w:top w:val="single" w:sz="4" w:space="0" w:color="auto"/>
            </w:tcBorders>
          </w:tcPr>
          <w:p w14:paraId="43B86A01" w14:textId="77777777" w:rsidR="00784F5F" w:rsidRPr="00425766" w:rsidRDefault="00784F5F" w:rsidP="008C4F85">
            <w:pPr>
              <w:widowControl/>
              <w:suppressAutoHyphens w:val="0"/>
              <w:jc w:val="both"/>
              <w:rPr>
                <w:rFonts w:eastAsia="Calibri"/>
                <w:kern w:val="0"/>
                <w:lang w:eastAsia="en-US"/>
              </w:rPr>
            </w:pPr>
            <w:r w:rsidRPr="00425766">
              <w:rPr>
                <w:rFonts w:eastAsia="Calibri"/>
                <w:kern w:val="0"/>
                <w:lang w:eastAsia="en-US"/>
              </w:rPr>
              <w:t>Ing. Slávka Tomalová – hlavná kontrolórka mesta Spišská Belá</w:t>
            </w:r>
          </w:p>
          <w:p w14:paraId="14C79024" w14:textId="77777777" w:rsidR="00784F5F" w:rsidRPr="00425766" w:rsidRDefault="00784F5F" w:rsidP="008C4F85">
            <w:pPr>
              <w:widowControl/>
              <w:suppressAutoHyphens w:val="0"/>
              <w:jc w:val="both"/>
              <w:rPr>
                <w:rFonts w:eastAsia="Calibri"/>
                <w:kern w:val="0"/>
                <w:lang w:eastAsia="en-US"/>
              </w:rPr>
            </w:pPr>
            <w:r w:rsidRPr="00425766">
              <w:rPr>
                <w:rFonts w:eastAsia="Calibri"/>
                <w:kern w:val="0"/>
                <w:lang w:eastAsia="en-US"/>
              </w:rPr>
              <w:t xml:space="preserve">                                                                 .......................................</w:t>
            </w:r>
          </w:p>
        </w:tc>
      </w:tr>
    </w:tbl>
    <w:p w14:paraId="3C3E94E0" w14:textId="62141C68" w:rsidR="005C66D5" w:rsidRDefault="005C66D5"/>
    <w:p w14:paraId="3892BE8A" w14:textId="70A4782A" w:rsidR="00784F5F" w:rsidRDefault="00784F5F"/>
    <w:p w14:paraId="70A2E0C3" w14:textId="33957C45" w:rsidR="00784F5F" w:rsidRDefault="00784F5F"/>
    <w:p w14:paraId="72D9F11C" w14:textId="4DC09262" w:rsidR="00784F5F" w:rsidRPr="004978AE" w:rsidRDefault="00784F5F" w:rsidP="00784F5F">
      <w:pPr>
        <w:widowControl/>
        <w:suppressAutoHyphens w:val="0"/>
        <w:spacing w:after="200" w:line="276" w:lineRule="auto"/>
        <w:jc w:val="both"/>
        <w:rPr>
          <w:rFonts w:eastAsiaTheme="minorHAnsi"/>
          <w:b/>
          <w:kern w:val="0"/>
          <w:lang w:eastAsia="en-US"/>
        </w:rPr>
      </w:pPr>
      <w:r w:rsidRPr="004978AE">
        <w:rPr>
          <w:rFonts w:eastAsiaTheme="minorHAnsi"/>
          <w:b/>
          <w:kern w:val="0"/>
          <w:lang w:eastAsia="en-US"/>
        </w:rPr>
        <w:lastRenderedPageBreak/>
        <w:t>Správ</w:t>
      </w:r>
      <w:r>
        <w:rPr>
          <w:rFonts w:eastAsiaTheme="minorHAnsi"/>
          <w:b/>
          <w:kern w:val="0"/>
          <w:lang w:eastAsia="en-US"/>
        </w:rPr>
        <w:t>y</w:t>
      </w:r>
      <w:r w:rsidRPr="004978AE">
        <w:rPr>
          <w:rFonts w:eastAsiaTheme="minorHAnsi"/>
          <w:b/>
          <w:kern w:val="0"/>
          <w:lang w:eastAsia="en-US"/>
        </w:rPr>
        <w:t xml:space="preserve"> z vykonan</w:t>
      </w:r>
      <w:r>
        <w:rPr>
          <w:rFonts w:eastAsiaTheme="minorHAnsi"/>
          <w:b/>
          <w:kern w:val="0"/>
          <w:lang w:eastAsia="en-US"/>
        </w:rPr>
        <w:t>ých</w:t>
      </w:r>
      <w:r w:rsidRPr="004978AE">
        <w:rPr>
          <w:rFonts w:eastAsiaTheme="minorHAnsi"/>
          <w:b/>
          <w:kern w:val="0"/>
          <w:lang w:eastAsia="en-US"/>
        </w:rPr>
        <w:t xml:space="preserve">  kontrol:</w:t>
      </w:r>
    </w:p>
    <w:p w14:paraId="573A3870" w14:textId="6EFE9E14" w:rsidR="00784F5F" w:rsidRDefault="00784F5F" w:rsidP="00784F5F">
      <w:pPr>
        <w:widowControl/>
        <w:numPr>
          <w:ilvl w:val="0"/>
          <w:numId w:val="5"/>
        </w:numPr>
        <w:suppressAutoHyphens w:val="0"/>
        <w:autoSpaceDN w:val="0"/>
        <w:spacing w:before="240" w:after="160" w:line="259" w:lineRule="auto"/>
        <w:contextualSpacing/>
        <w:jc w:val="both"/>
        <w:rPr>
          <w:rFonts w:eastAsiaTheme="minorHAnsi"/>
          <w:b/>
          <w:kern w:val="0"/>
          <w:lang w:eastAsia="en-US"/>
        </w:rPr>
      </w:pPr>
      <w:bookmarkStart w:id="1" w:name="_Hlk169250893"/>
      <w:bookmarkStart w:id="2" w:name="_Hlk160537973"/>
      <w:r>
        <w:rPr>
          <w:rFonts w:eastAsiaTheme="minorHAnsi"/>
          <w:b/>
          <w:kern w:val="0"/>
          <w:lang w:eastAsia="en-US"/>
        </w:rPr>
        <w:t>kontrola</w:t>
      </w:r>
      <w:r w:rsidRPr="00DB3FCB">
        <w:rPr>
          <w:rFonts w:eastAsiaTheme="minorHAnsi"/>
          <w:b/>
          <w:kern w:val="0"/>
          <w:lang w:eastAsia="en-US"/>
        </w:rPr>
        <w:t xml:space="preserve"> </w:t>
      </w:r>
      <w:r w:rsidRPr="00784F5F">
        <w:rPr>
          <w:rFonts w:eastAsiaTheme="minorHAnsi"/>
          <w:b/>
          <w:kern w:val="0"/>
          <w:lang w:eastAsia="en-US"/>
        </w:rPr>
        <w:t>hospodáreni</w:t>
      </w:r>
      <w:r>
        <w:rPr>
          <w:rFonts w:eastAsiaTheme="minorHAnsi"/>
          <w:b/>
          <w:kern w:val="0"/>
          <w:lang w:eastAsia="en-US"/>
        </w:rPr>
        <w:t>a</w:t>
      </w:r>
      <w:r w:rsidRPr="00784F5F">
        <w:rPr>
          <w:rFonts w:eastAsiaTheme="minorHAnsi"/>
          <w:b/>
          <w:kern w:val="0"/>
          <w:lang w:eastAsia="en-US"/>
        </w:rPr>
        <w:t xml:space="preserve"> v spoločnosti Mestský podnik Spišská Belá s. r. o. v roku 2023 </w:t>
      </w:r>
    </w:p>
    <w:bookmarkEnd w:id="1"/>
    <w:p w14:paraId="39035F79" w14:textId="25F6705A" w:rsidR="00784F5F" w:rsidRDefault="00784F5F" w:rsidP="00784F5F">
      <w:pPr>
        <w:widowControl/>
        <w:suppressAutoHyphens w:val="0"/>
        <w:autoSpaceDN w:val="0"/>
        <w:spacing w:before="240" w:after="160" w:line="259" w:lineRule="auto"/>
        <w:ind w:left="720"/>
        <w:contextualSpacing/>
        <w:jc w:val="both"/>
        <w:rPr>
          <w:rFonts w:eastAsiaTheme="minorHAnsi"/>
          <w:b/>
          <w:kern w:val="0"/>
          <w:lang w:eastAsia="en-US"/>
        </w:rPr>
      </w:pPr>
    </w:p>
    <w:bookmarkEnd w:id="2"/>
    <w:p w14:paraId="595FCA70" w14:textId="77777777" w:rsidR="00784F5F" w:rsidRPr="00784F5F" w:rsidRDefault="00784F5F" w:rsidP="00784F5F">
      <w:pPr>
        <w:widowControl/>
        <w:suppressAutoHyphens w:val="0"/>
        <w:spacing w:after="160"/>
        <w:jc w:val="both"/>
        <w:rPr>
          <w:rFonts w:eastAsiaTheme="minorEastAsia"/>
          <w:kern w:val="0"/>
        </w:rPr>
      </w:pPr>
      <w:r w:rsidRPr="00784F5F">
        <w:rPr>
          <w:rFonts w:eastAsiaTheme="minorEastAsia"/>
          <w:b/>
          <w:kern w:val="0"/>
        </w:rPr>
        <w:t xml:space="preserve">     </w:t>
      </w:r>
      <w:r w:rsidRPr="00784F5F">
        <w:rPr>
          <w:rFonts w:eastAsiaTheme="minorEastAsia"/>
          <w:kern w:val="0"/>
        </w:rPr>
        <w:t xml:space="preserve">     Mestský podnik Spišská Belá s. r. o. zaplatil mestu Spišská Belá v roku 2023  nájomné za areál na Továrenskej 30 vo výške 11 850,00 eur a za   kameňolom 2 838,00 eur.</w:t>
      </w:r>
    </w:p>
    <w:p w14:paraId="4AE60606" w14:textId="77777777" w:rsidR="00784F5F" w:rsidRPr="00784F5F" w:rsidRDefault="00784F5F" w:rsidP="00784F5F">
      <w:pPr>
        <w:widowControl/>
        <w:suppressAutoHyphens w:val="0"/>
        <w:spacing w:before="240" w:after="160"/>
        <w:jc w:val="both"/>
        <w:rPr>
          <w:rFonts w:eastAsiaTheme="minorEastAsia"/>
          <w:kern w:val="0"/>
        </w:rPr>
      </w:pPr>
      <w:r w:rsidRPr="00784F5F">
        <w:rPr>
          <w:rFonts w:eastAsiaTheme="minorEastAsia"/>
          <w:b/>
          <w:kern w:val="0"/>
        </w:rPr>
        <w:t xml:space="preserve">     </w:t>
      </w:r>
      <w:r w:rsidRPr="00784F5F">
        <w:rPr>
          <w:rFonts w:eastAsiaTheme="minorEastAsia"/>
          <w:kern w:val="0"/>
        </w:rPr>
        <w:t xml:space="preserve">     Mestský podnik Spišská Belá s. r. o.  (ďalej len MPSB)   dosiahol v kontrolovanom období stratu vo výške 103 799,00 eur.   </w:t>
      </w:r>
    </w:p>
    <w:p w14:paraId="7581FE20" w14:textId="77777777" w:rsidR="00784F5F" w:rsidRPr="00784F5F" w:rsidRDefault="00784F5F" w:rsidP="00784F5F">
      <w:pPr>
        <w:widowControl/>
        <w:suppressAutoHyphens w:val="0"/>
        <w:spacing w:before="240" w:after="160"/>
        <w:jc w:val="both"/>
        <w:rPr>
          <w:rFonts w:eastAsiaTheme="minorEastAsia"/>
          <w:kern w:val="0"/>
        </w:rPr>
      </w:pPr>
      <w:r w:rsidRPr="00784F5F">
        <w:rPr>
          <w:rFonts w:eastAsiaTheme="minorEastAsia"/>
          <w:kern w:val="0"/>
        </w:rPr>
        <w:t xml:space="preserve">     Spoločnosť začala v roku 2023 nevyhnutné úsporné opatrenia, prijala rozhodnutie o zrušení strediska stavebnej výroby, o predaji nepotrebnej techniky, snaha o efektívnejšie  využívanie pracovnej sily. Zaoberá sa vývozom odpadov z mesta a okolitých obcí, zberom triedeného odpadu a jeho dotrieďovaním a predajom.  V priebehu roka znížila počet zamestnancov z 31 na 18,6 (priemerný prepočítaný počet zamestnancov). Po uzatvorení mestskej skládky vyváža spoločnosť  odpady na skládku v Žakovciach (Tatranská odpadová spoločnosť s.r.o. priemyselný odpad a Marius Pedersen, a. s. – zmesový komunálny odpad).</w:t>
      </w:r>
    </w:p>
    <w:p w14:paraId="16FF0BB0" w14:textId="77777777" w:rsidR="00784F5F" w:rsidRPr="00784F5F" w:rsidRDefault="00784F5F" w:rsidP="00784F5F">
      <w:pPr>
        <w:widowControl/>
        <w:suppressAutoHyphens w:val="0"/>
        <w:spacing w:before="240" w:after="160"/>
        <w:jc w:val="both"/>
        <w:rPr>
          <w:rFonts w:eastAsiaTheme="minorEastAsia"/>
          <w:kern w:val="0"/>
        </w:rPr>
      </w:pPr>
      <w:r w:rsidRPr="00784F5F">
        <w:rPr>
          <w:rFonts w:eastAsiaTheme="minorEastAsia"/>
          <w:kern w:val="0"/>
        </w:rPr>
        <w:t xml:space="preserve">Vybrané ekonomické ukazovatele: </w:t>
      </w:r>
    </w:p>
    <w:tbl>
      <w:tblPr>
        <w:tblW w:w="6379" w:type="dxa"/>
        <w:tblInd w:w="137" w:type="dxa"/>
        <w:tblCellMar>
          <w:left w:w="70" w:type="dxa"/>
          <w:right w:w="70" w:type="dxa"/>
        </w:tblCellMar>
        <w:tblLook w:val="04A0" w:firstRow="1" w:lastRow="0" w:firstColumn="1" w:lastColumn="0" w:noHBand="0" w:noVBand="1"/>
      </w:tblPr>
      <w:tblGrid>
        <w:gridCol w:w="3402"/>
        <w:gridCol w:w="2977"/>
      </w:tblGrid>
      <w:tr w:rsidR="00784F5F" w:rsidRPr="00784F5F" w14:paraId="10A6EE02" w14:textId="77777777" w:rsidTr="008C4F85">
        <w:trPr>
          <w:trHeight w:val="712"/>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00E5E" w14:textId="77777777" w:rsidR="00784F5F" w:rsidRPr="00784F5F" w:rsidRDefault="00784F5F" w:rsidP="00784F5F">
            <w:pPr>
              <w:widowControl/>
              <w:suppressAutoHyphens w:val="0"/>
              <w:jc w:val="center"/>
              <w:rPr>
                <w:rFonts w:ascii="Calibri" w:eastAsia="Times New Roman" w:hAnsi="Calibri"/>
                <w:b/>
                <w:color w:val="000000"/>
                <w:kern w:val="0"/>
                <w:sz w:val="22"/>
                <w:szCs w:val="22"/>
              </w:rPr>
            </w:pP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52E4052A" w14:textId="77777777" w:rsidR="00784F5F" w:rsidRPr="00784F5F" w:rsidRDefault="00784F5F" w:rsidP="00784F5F">
            <w:pPr>
              <w:widowControl/>
              <w:suppressAutoHyphens w:val="0"/>
              <w:jc w:val="center"/>
              <w:rPr>
                <w:rFonts w:ascii="Calibri" w:eastAsia="Times New Roman" w:hAnsi="Calibri"/>
                <w:b/>
                <w:bCs/>
                <w:color w:val="000000"/>
                <w:kern w:val="0"/>
                <w:sz w:val="22"/>
                <w:szCs w:val="22"/>
              </w:rPr>
            </w:pPr>
            <w:r w:rsidRPr="00784F5F">
              <w:rPr>
                <w:rFonts w:ascii="Calibri" w:eastAsia="Times New Roman" w:hAnsi="Calibri"/>
                <w:b/>
                <w:bCs/>
                <w:color w:val="000000"/>
                <w:kern w:val="0"/>
                <w:sz w:val="22"/>
                <w:szCs w:val="22"/>
              </w:rPr>
              <w:t>2023</w:t>
            </w:r>
          </w:p>
        </w:tc>
      </w:tr>
      <w:tr w:rsidR="00784F5F" w:rsidRPr="00784F5F" w14:paraId="381CBC44" w14:textId="77777777" w:rsidTr="008C4F85">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6F057CB8" w14:textId="77777777" w:rsidR="00784F5F" w:rsidRPr="00784F5F" w:rsidRDefault="00784F5F" w:rsidP="00784F5F">
            <w:pPr>
              <w:widowControl/>
              <w:suppressAutoHyphens w:val="0"/>
              <w:rPr>
                <w:rFonts w:ascii="Calibri" w:eastAsia="Times New Roman" w:hAnsi="Calibri"/>
                <w:b/>
                <w:bCs/>
                <w:color w:val="000000"/>
                <w:kern w:val="0"/>
              </w:rPr>
            </w:pPr>
            <w:r w:rsidRPr="00784F5F">
              <w:rPr>
                <w:rFonts w:ascii="Calibri" w:eastAsia="Times New Roman" w:hAnsi="Calibri"/>
                <w:b/>
                <w:bCs/>
                <w:color w:val="000000"/>
                <w:kern w:val="0"/>
              </w:rPr>
              <w:t>Výnosy celkom</w:t>
            </w:r>
          </w:p>
        </w:tc>
        <w:tc>
          <w:tcPr>
            <w:tcW w:w="2977" w:type="dxa"/>
            <w:tcBorders>
              <w:top w:val="nil"/>
              <w:left w:val="nil"/>
              <w:bottom w:val="single" w:sz="4" w:space="0" w:color="auto"/>
              <w:right w:val="single" w:sz="4" w:space="0" w:color="auto"/>
            </w:tcBorders>
            <w:shd w:val="clear" w:color="auto" w:fill="auto"/>
            <w:noWrap/>
            <w:vAlign w:val="bottom"/>
            <w:hideMark/>
          </w:tcPr>
          <w:p w14:paraId="408E8F50" w14:textId="77777777" w:rsidR="00784F5F" w:rsidRPr="00784F5F" w:rsidRDefault="00784F5F" w:rsidP="00784F5F">
            <w:pPr>
              <w:widowControl/>
              <w:suppressAutoHyphens w:val="0"/>
              <w:jc w:val="center"/>
              <w:rPr>
                <w:rFonts w:ascii="Calibri" w:eastAsia="Times New Roman" w:hAnsi="Calibri"/>
                <w:b/>
                <w:color w:val="000000"/>
                <w:kern w:val="0"/>
              </w:rPr>
            </w:pPr>
            <w:r w:rsidRPr="00784F5F">
              <w:rPr>
                <w:rFonts w:ascii="Calibri" w:eastAsia="Times New Roman" w:hAnsi="Calibri"/>
                <w:b/>
                <w:color w:val="000000"/>
                <w:kern w:val="0"/>
              </w:rPr>
              <w:t xml:space="preserve">   942 468</w:t>
            </w:r>
          </w:p>
        </w:tc>
      </w:tr>
      <w:tr w:rsidR="00784F5F" w:rsidRPr="00784F5F" w14:paraId="519DA035" w14:textId="77777777" w:rsidTr="008C4F85">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416F4C21" w14:textId="77777777" w:rsidR="00784F5F" w:rsidRPr="00784F5F" w:rsidRDefault="00784F5F" w:rsidP="00784F5F">
            <w:pPr>
              <w:widowControl/>
              <w:suppressAutoHyphens w:val="0"/>
              <w:rPr>
                <w:rFonts w:ascii="Calibri" w:eastAsia="Times New Roman" w:hAnsi="Calibri"/>
                <w:b/>
                <w:kern w:val="0"/>
              </w:rPr>
            </w:pPr>
            <w:r w:rsidRPr="00784F5F">
              <w:rPr>
                <w:rFonts w:ascii="Calibri" w:eastAsia="Times New Roman" w:hAnsi="Calibri"/>
                <w:b/>
                <w:kern w:val="0"/>
              </w:rPr>
              <w:t>Náklady celkom</w:t>
            </w:r>
          </w:p>
        </w:tc>
        <w:tc>
          <w:tcPr>
            <w:tcW w:w="2977" w:type="dxa"/>
            <w:tcBorders>
              <w:top w:val="nil"/>
              <w:left w:val="nil"/>
              <w:bottom w:val="single" w:sz="4" w:space="0" w:color="auto"/>
              <w:right w:val="single" w:sz="4" w:space="0" w:color="auto"/>
            </w:tcBorders>
            <w:shd w:val="clear" w:color="auto" w:fill="auto"/>
            <w:noWrap/>
            <w:vAlign w:val="bottom"/>
            <w:hideMark/>
          </w:tcPr>
          <w:p w14:paraId="65C85624" w14:textId="77777777" w:rsidR="00784F5F" w:rsidRPr="00784F5F" w:rsidRDefault="00784F5F" w:rsidP="00784F5F">
            <w:pPr>
              <w:widowControl/>
              <w:suppressAutoHyphens w:val="0"/>
              <w:jc w:val="center"/>
              <w:rPr>
                <w:rFonts w:ascii="Calibri" w:eastAsia="Times New Roman" w:hAnsi="Calibri"/>
                <w:b/>
                <w:kern w:val="0"/>
              </w:rPr>
            </w:pPr>
            <w:r w:rsidRPr="00784F5F">
              <w:rPr>
                <w:rFonts w:ascii="Calibri" w:eastAsia="Times New Roman" w:hAnsi="Calibri"/>
                <w:b/>
                <w:kern w:val="0"/>
              </w:rPr>
              <w:t>1 045 578</w:t>
            </w:r>
          </w:p>
        </w:tc>
      </w:tr>
      <w:tr w:rsidR="00784F5F" w:rsidRPr="00784F5F" w14:paraId="02F0D3B2" w14:textId="77777777" w:rsidTr="008C4F85">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2717F822" w14:textId="77777777" w:rsidR="00784F5F" w:rsidRPr="00784F5F" w:rsidRDefault="00784F5F" w:rsidP="00784F5F">
            <w:pPr>
              <w:widowControl/>
              <w:suppressAutoHyphens w:val="0"/>
              <w:rPr>
                <w:rFonts w:ascii="Calibri" w:eastAsia="Times New Roman" w:hAnsi="Calibri"/>
                <w:color w:val="000000"/>
                <w:kern w:val="0"/>
                <w:sz w:val="22"/>
                <w:szCs w:val="22"/>
              </w:rPr>
            </w:pPr>
            <w:r w:rsidRPr="00784F5F">
              <w:rPr>
                <w:rFonts w:ascii="Calibri" w:eastAsia="Times New Roman" w:hAnsi="Calibri"/>
                <w:color w:val="000000"/>
                <w:kern w:val="0"/>
                <w:sz w:val="22"/>
                <w:szCs w:val="22"/>
              </w:rPr>
              <w:t>z toho – osobné (mzdy +  poist.)</w:t>
            </w:r>
          </w:p>
        </w:tc>
        <w:tc>
          <w:tcPr>
            <w:tcW w:w="2977" w:type="dxa"/>
            <w:tcBorders>
              <w:top w:val="nil"/>
              <w:left w:val="nil"/>
              <w:bottom w:val="single" w:sz="4" w:space="0" w:color="auto"/>
              <w:right w:val="single" w:sz="4" w:space="0" w:color="auto"/>
            </w:tcBorders>
            <w:shd w:val="clear" w:color="auto" w:fill="auto"/>
            <w:noWrap/>
            <w:vAlign w:val="bottom"/>
            <w:hideMark/>
          </w:tcPr>
          <w:p w14:paraId="5D96F2E3" w14:textId="77777777" w:rsidR="00784F5F" w:rsidRPr="00784F5F" w:rsidRDefault="00784F5F" w:rsidP="00784F5F">
            <w:pPr>
              <w:widowControl/>
              <w:suppressAutoHyphens w:val="0"/>
              <w:jc w:val="center"/>
              <w:rPr>
                <w:rFonts w:ascii="Calibri" w:eastAsia="Times New Roman" w:hAnsi="Calibri"/>
                <w:color w:val="000000"/>
                <w:kern w:val="0"/>
                <w:sz w:val="22"/>
                <w:szCs w:val="22"/>
              </w:rPr>
            </w:pPr>
            <w:r w:rsidRPr="00784F5F">
              <w:rPr>
                <w:rFonts w:ascii="Calibri" w:eastAsia="Times New Roman" w:hAnsi="Calibri"/>
                <w:color w:val="000000"/>
                <w:kern w:val="0"/>
                <w:sz w:val="22"/>
                <w:szCs w:val="22"/>
              </w:rPr>
              <w:t xml:space="preserve">   367 437</w:t>
            </w:r>
          </w:p>
        </w:tc>
      </w:tr>
      <w:tr w:rsidR="00784F5F" w:rsidRPr="00784F5F" w14:paraId="36F7CAF3" w14:textId="77777777" w:rsidTr="008C4F85">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6BF61659" w14:textId="77777777" w:rsidR="00784F5F" w:rsidRPr="00784F5F" w:rsidRDefault="00784F5F" w:rsidP="00784F5F">
            <w:pPr>
              <w:widowControl/>
              <w:numPr>
                <w:ilvl w:val="0"/>
                <w:numId w:val="6"/>
              </w:numPr>
              <w:suppressAutoHyphens w:val="0"/>
              <w:spacing w:after="160" w:line="256" w:lineRule="auto"/>
              <w:contextualSpacing/>
              <w:rPr>
                <w:rFonts w:ascii="Calibri" w:eastAsia="Times New Roman" w:hAnsi="Calibri"/>
                <w:color w:val="000000"/>
                <w:kern w:val="0"/>
                <w:sz w:val="22"/>
                <w:szCs w:val="22"/>
              </w:rPr>
            </w:pPr>
            <w:r w:rsidRPr="00784F5F">
              <w:rPr>
                <w:rFonts w:ascii="Calibri" w:eastAsia="Times New Roman" w:hAnsi="Calibri"/>
                <w:color w:val="000000"/>
                <w:kern w:val="0"/>
                <w:sz w:val="22"/>
                <w:szCs w:val="22"/>
              </w:rPr>
              <w:t>spotreba materiálu, energie</w:t>
            </w:r>
          </w:p>
        </w:tc>
        <w:tc>
          <w:tcPr>
            <w:tcW w:w="2977" w:type="dxa"/>
            <w:tcBorders>
              <w:top w:val="nil"/>
              <w:left w:val="nil"/>
              <w:bottom w:val="single" w:sz="4" w:space="0" w:color="auto"/>
              <w:right w:val="single" w:sz="4" w:space="0" w:color="auto"/>
            </w:tcBorders>
            <w:shd w:val="clear" w:color="auto" w:fill="auto"/>
            <w:noWrap/>
            <w:vAlign w:val="bottom"/>
            <w:hideMark/>
          </w:tcPr>
          <w:p w14:paraId="5AC4477F" w14:textId="77777777" w:rsidR="00784F5F" w:rsidRPr="00784F5F" w:rsidRDefault="00784F5F" w:rsidP="00784F5F">
            <w:pPr>
              <w:widowControl/>
              <w:suppressAutoHyphens w:val="0"/>
              <w:jc w:val="center"/>
              <w:rPr>
                <w:rFonts w:ascii="Calibri" w:eastAsia="Times New Roman" w:hAnsi="Calibri"/>
                <w:color w:val="000000"/>
                <w:kern w:val="0"/>
                <w:sz w:val="22"/>
                <w:szCs w:val="22"/>
              </w:rPr>
            </w:pPr>
            <w:r w:rsidRPr="00784F5F">
              <w:rPr>
                <w:rFonts w:ascii="Calibri" w:eastAsia="Times New Roman" w:hAnsi="Calibri"/>
                <w:color w:val="000000"/>
                <w:kern w:val="0"/>
                <w:sz w:val="22"/>
                <w:szCs w:val="22"/>
              </w:rPr>
              <w:t xml:space="preserve">  107 782 </w:t>
            </w:r>
          </w:p>
        </w:tc>
      </w:tr>
      <w:tr w:rsidR="00784F5F" w:rsidRPr="00784F5F" w14:paraId="59723D97" w14:textId="77777777" w:rsidTr="008C4F85">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tcPr>
          <w:p w14:paraId="5B3190C3" w14:textId="77777777" w:rsidR="00784F5F" w:rsidRPr="00784F5F" w:rsidRDefault="00784F5F" w:rsidP="00784F5F">
            <w:pPr>
              <w:widowControl/>
              <w:numPr>
                <w:ilvl w:val="0"/>
                <w:numId w:val="6"/>
              </w:numPr>
              <w:suppressAutoHyphens w:val="0"/>
              <w:spacing w:after="160" w:line="256" w:lineRule="auto"/>
              <w:contextualSpacing/>
              <w:rPr>
                <w:rFonts w:ascii="Calibri" w:eastAsia="Times New Roman" w:hAnsi="Calibri"/>
                <w:color w:val="000000"/>
                <w:kern w:val="0"/>
                <w:sz w:val="22"/>
                <w:szCs w:val="22"/>
              </w:rPr>
            </w:pPr>
            <w:r w:rsidRPr="00784F5F">
              <w:rPr>
                <w:rFonts w:ascii="Calibri" w:eastAsia="Times New Roman" w:hAnsi="Calibri"/>
                <w:color w:val="000000"/>
                <w:kern w:val="0"/>
                <w:sz w:val="22"/>
                <w:szCs w:val="22"/>
              </w:rPr>
              <w:t>uloženie odpadu Žakovce</w:t>
            </w:r>
          </w:p>
        </w:tc>
        <w:tc>
          <w:tcPr>
            <w:tcW w:w="2977" w:type="dxa"/>
            <w:tcBorders>
              <w:top w:val="nil"/>
              <w:left w:val="nil"/>
              <w:bottom w:val="single" w:sz="4" w:space="0" w:color="auto"/>
              <w:right w:val="single" w:sz="4" w:space="0" w:color="auto"/>
            </w:tcBorders>
            <w:shd w:val="clear" w:color="auto" w:fill="auto"/>
            <w:noWrap/>
            <w:vAlign w:val="bottom"/>
          </w:tcPr>
          <w:p w14:paraId="178B636E" w14:textId="77777777" w:rsidR="00784F5F" w:rsidRPr="00784F5F" w:rsidRDefault="00784F5F" w:rsidP="00784F5F">
            <w:pPr>
              <w:widowControl/>
              <w:suppressAutoHyphens w:val="0"/>
              <w:jc w:val="center"/>
              <w:rPr>
                <w:rFonts w:ascii="Calibri" w:eastAsia="Times New Roman" w:hAnsi="Calibri"/>
                <w:color w:val="000000"/>
                <w:kern w:val="0"/>
                <w:sz w:val="22"/>
                <w:szCs w:val="22"/>
              </w:rPr>
            </w:pPr>
            <w:r w:rsidRPr="00784F5F">
              <w:rPr>
                <w:rFonts w:ascii="Calibri" w:eastAsia="Times New Roman" w:hAnsi="Calibri"/>
                <w:color w:val="000000"/>
                <w:kern w:val="0"/>
                <w:sz w:val="22"/>
                <w:szCs w:val="22"/>
              </w:rPr>
              <w:t xml:space="preserve">  249 550</w:t>
            </w:r>
          </w:p>
        </w:tc>
      </w:tr>
      <w:tr w:rsidR="00784F5F" w:rsidRPr="00784F5F" w14:paraId="2CDC4A72" w14:textId="77777777" w:rsidTr="008C4F85">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EB1A067" w14:textId="77777777" w:rsidR="00784F5F" w:rsidRPr="00784F5F" w:rsidRDefault="00784F5F" w:rsidP="00784F5F">
            <w:pPr>
              <w:widowControl/>
              <w:numPr>
                <w:ilvl w:val="0"/>
                <w:numId w:val="6"/>
              </w:numPr>
              <w:suppressAutoHyphens w:val="0"/>
              <w:spacing w:after="160" w:line="256" w:lineRule="auto"/>
              <w:contextualSpacing/>
              <w:rPr>
                <w:rFonts w:ascii="Calibri" w:eastAsia="Times New Roman" w:hAnsi="Calibri"/>
                <w:color w:val="000000"/>
                <w:kern w:val="0"/>
                <w:sz w:val="22"/>
                <w:szCs w:val="22"/>
              </w:rPr>
            </w:pPr>
            <w:r w:rsidRPr="00784F5F">
              <w:rPr>
                <w:rFonts w:ascii="Calibri" w:eastAsia="Times New Roman" w:hAnsi="Calibri"/>
                <w:color w:val="000000"/>
                <w:kern w:val="0"/>
                <w:sz w:val="22"/>
                <w:szCs w:val="22"/>
              </w:rPr>
              <w:t>poplatok za ulož. odpadu EF</w:t>
            </w:r>
          </w:p>
        </w:tc>
        <w:tc>
          <w:tcPr>
            <w:tcW w:w="2977" w:type="dxa"/>
            <w:tcBorders>
              <w:top w:val="nil"/>
              <w:left w:val="nil"/>
              <w:bottom w:val="single" w:sz="4" w:space="0" w:color="auto"/>
              <w:right w:val="single" w:sz="4" w:space="0" w:color="auto"/>
            </w:tcBorders>
            <w:shd w:val="clear" w:color="auto" w:fill="auto"/>
            <w:noWrap/>
            <w:vAlign w:val="bottom"/>
            <w:hideMark/>
          </w:tcPr>
          <w:p w14:paraId="4F633B07" w14:textId="77777777" w:rsidR="00784F5F" w:rsidRPr="00784F5F" w:rsidRDefault="00784F5F" w:rsidP="00784F5F">
            <w:pPr>
              <w:widowControl/>
              <w:suppressAutoHyphens w:val="0"/>
              <w:jc w:val="center"/>
              <w:rPr>
                <w:rFonts w:ascii="Calibri" w:eastAsia="Times New Roman" w:hAnsi="Calibri"/>
                <w:color w:val="000000"/>
                <w:kern w:val="0"/>
                <w:sz w:val="22"/>
                <w:szCs w:val="22"/>
              </w:rPr>
            </w:pPr>
            <w:r w:rsidRPr="00784F5F">
              <w:rPr>
                <w:rFonts w:ascii="Calibri" w:eastAsia="Times New Roman" w:hAnsi="Calibri"/>
                <w:color w:val="000000"/>
                <w:kern w:val="0"/>
                <w:sz w:val="22"/>
                <w:szCs w:val="22"/>
              </w:rPr>
              <w:t xml:space="preserve">    96 748</w:t>
            </w:r>
          </w:p>
        </w:tc>
      </w:tr>
      <w:tr w:rsidR="00784F5F" w:rsidRPr="00784F5F" w14:paraId="6F6FB8E8" w14:textId="77777777" w:rsidTr="008C4F85">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tcPr>
          <w:p w14:paraId="1A20B528" w14:textId="77777777" w:rsidR="00784F5F" w:rsidRPr="00784F5F" w:rsidRDefault="00784F5F" w:rsidP="00443992">
            <w:pPr>
              <w:widowControl/>
              <w:numPr>
                <w:ilvl w:val="0"/>
                <w:numId w:val="6"/>
              </w:numPr>
              <w:suppressAutoHyphens w:val="0"/>
              <w:spacing w:line="256" w:lineRule="auto"/>
              <w:contextualSpacing/>
              <w:rPr>
                <w:rFonts w:ascii="Calibri" w:eastAsia="Times New Roman" w:hAnsi="Calibri"/>
                <w:color w:val="000000"/>
                <w:kern w:val="0"/>
                <w:sz w:val="22"/>
                <w:szCs w:val="22"/>
              </w:rPr>
            </w:pPr>
            <w:r w:rsidRPr="00784F5F">
              <w:rPr>
                <w:rFonts w:ascii="Calibri" w:eastAsia="Times New Roman" w:hAnsi="Calibri"/>
                <w:color w:val="000000"/>
                <w:kern w:val="0"/>
                <w:sz w:val="22"/>
                <w:szCs w:val="22"/>
              </w:rPr>
              <w:t>odpisy lesné cesty</w:t>
            </w:r>
          </w:p>
        </w:tc>
        <w:tc>
          <w:tcPr>
            <w:tcW w:w="2977" w:type="dxa"/>
            <w:tcBorders>
              <w:top w:val="nil"/>
              <w:left w:val="nil"/>
              <w:bottom w:val="single" w:sz="4" w:space="0" w:color="auto"/>
              <w:right w:val="single" w:sz="4" w:space="0" w:color="auto"/>
            </w:tcBorders>
            <w:shd w:val="clear" w:color="auto" w:fill="auto"/>
            <w:noWrap/>
            <w:vAlign w:val="bottom"/>
          </w:tcPr>
          <w:p w14:paraId="73D28CC8" w14:textId="77777777" w:rsidR="00784F5F" w:rsidRPr="00784F5F" w:rsidRDefault="00784F5F" w:rsidP="00443992">
            <w:pPr>
              <w:widowControl/>
              <w:suppressAutoHyphens w:val="0"/>
              <w:jc w:val="center"/>
              <w:rPr>
                <w:rFonts w:ascii="Calibri" w:eastAsia="Times New Roman" w:hAnsi="Calibri"/>
                <w:color w:val="000000"/>
                <w:kern w:val="0"/>
                <w:sz w:val="22"/>
                <w:szCs w:val="22"/>
              </w:rPr>
            </w:pPr>
            <w:r w:rsidRPr="00784F5F">
              <w:rPr>
                <w:rFonts w:ascii="Calibri" w:eastAsia="Times New Roman" w:hAnsi="Calibri"/>
                <w:color w:val="000000"/>
                <w:kern w:val="0"/>
                <w:sz w:val="22"/>
                <w:szCs w:val="22"/>
              </w:rPr>
              <w:t xml:space="preserve">    62 795</w:t>
            </w:r>
          </w:p>
        </w:tc>
      </w:tr>
      <w:tr w:rsidR="00784F5F" w:rsidRPr="00784F5F" w14:paraId="315B1BEB" w14:textId="77777777" w:rsidTr="008C4F85">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tcPr>
          <w:p w14:paraId="2C159DFC" w14:textId="77777777" w:rsidR="00784F5F" w:rsidRPr="00784F5F" w:rsidRDefault="00784F5F" w:rsidP="00443992">
            <w:pPr>
              <w:widowControl/>
              <w:numPr>
                <w:ilvl w:val="0"/>
                <w:numId w:val="6"/>
              </w:numPr>
              <w:suppressAutoHyphens w:val="0"/>
              <w:spacing w:line="256" w:lineRule="auto"/>
              <w:contextualSpacing/>
              <w:rPr>
                <w:rFonts w:ascii="Calibri" w:eastAsia="Times New Roman" w:hAnsi="Calibri"/>
                <w:color w:val="000000"/>
                <w:kern w:val="0"/>
                <w:sz w:val="22"/>
                <w:szCs w:val="22"/>
              </w:rPr>
            </w:pPr>
            <w:r w:rsidRPr="00784F5F">
              <w:rPr>
                <w:rFonts w:ascii="Calibri" w:eastAsia="Times New Roman" w:hAnsi="Calibri"/>
                <w:color w:val="000000"/>
                <w:kern w:val="0"/>
                <w:sz w:val="22"/>
                <w:szCs w:val="22"/>
              </w:rPr>
              <w:t xml:space="preserve">odpisy </w:t>
            </w:r>
            <w:proofErr w:type="spellStart"/>
            <w:r w:rsidRPr="00784F5F">
              <w:rPr>
                <w:rFonts w:ascii="Calibri" w:eastAsia="Times New Roman" w:hAnsi="Calibri"/>
                <w:color w:val="000000"/>
                <w:kern w:val="0"/>
                <w:sz w:val="22"/>
                <w:szCs w:val="22"/>
              </w:rPr>
              <w:t>ost</w:t>
            </w:r>
            <w:proofErr w:type="spellEnd"/>
            <w:r w:rsidRPr="00784F5F">
              <w:rPr>
                <w:rFonts w:ascii="Calibri" w:eastAsia="Times New Roman" w:hAnsi="Calibri"/>
                <w:color w:val="000000"/>
                <w:kern w:val="0"/>
                <w:sz w:val="22"/>
                <w:szCs w:val="22"/>
              </w:rPr>
              <w:t>. majetok</w:t>
            </w:r>
          </w:p>
        </w:tc>
        <w:tc>
          <w:tcPr>
            <w:tcW w:w="2977" w:type="dxa"/>
            <w:tcBorders>
              <w:top w:val="nil"/>
              <w:left w:val="nil"/>
              <w:bottom w:val="single" w:sz="4" w:space="0" w:color="auto"/>
              <w:right w:val="single" w:sz="4" w:space="0" w:color="auto"/>
            </w:tcBorders>
            <w:shd w:val="clear" w:color="auto" w:fill="auto"/>
            <w:noWrap/>
            <w:vAlign w:val="bottom"/>
          </w:tcPr>
          <w:p w14:paraId="545A9035" w14:textId="77777777" w:rsidR="00784F5F" w:rsidRPr="00784F5F" w:rsidRDefault="00784F5F" w:rsidP="00443992">
            <w:pPr>
              <w:widowControl/>
              <w:suppressAutoHyphens w:val="0"/>
              <w:jc w:val="center"/>
              <w:rPr>
                <w:rFonts w:ascii="Calibri" w:eastAsia="Times New Roman" w:hAnsi="Calibri"/>
                <w:color w:val="000000"/>
                <w:kern w:val="0"/>
                <w:sz w:val="22"/>
                <w:szCs w:val="22"/>
              </w:rPr>
            </w:pPr>
            <w:r w:rsidRPr="00784F5F">
              <w:rPr>
                <w:rFonts w:ascii="Calibri" w:eastAsia="Times New Roman" w:hAnsi="Calibri"/>
                <w:color w:val="000000"/>
                <w:kern w:val="0"/>
                <w:sz w:val="22"/>
                <w:szCs w:val="22"/>
              </w:rPr>
              <w:t xml:space="preserve">    32 662</w:t>
            </w:r>
          </w:p>
        </w:tc>
      </w:tr>
    </w:tbl>
    <w:p w14:paraId="770EF3AF" w14:textId="77777777" w:rsidR="00343329" w:rsidRDefault="00784F5F" w:rsidP="00443992">
      <w:pPr>
        <w:widowControl/>
        <w:suppressAutoHyphens w:val="0"/>
        <w:jc w:val="both"/>
        <w:rPr>
          <w:rFonts w:eastAsiaTheme="minorEastAsia"/>
          <w:kern w:val="0"/>
        </w:rPr>
      </w:pPr>
      <w:r w:rsidRPr="00784F5F">
        <w:rPr>
          <w:rFonts w:eastAsiaTheme="minorEastAsia"/>
          <w:kern w:val="0"/>
        </w:rPr>
        <w:t xml:space="preserve"> </w:t>
      </w:r>
    </w:p>
    <w:p w14:paraId="454C1784" w14:textId="0DC1A389" w:rsidR="00784F5F" w:rsidRPr="00784F5F" w:rsidRDefault="00784F5F" w:rsidP="00443992">
      <w:pPr>
        <w:widowControl/>
        <w:suppressAutoHyphens w:val="0"/>
        <w:jc w:val="both"/>
        <w:rPr>
          <w:rFonts w:eastAsiaTheme="minorEastAsia"/>
          <w:kern w:val="0"/>
        </w:rPr>
      </w:pPr>
      <w:r w:rsidRPr="00784F5F">
        <w:rPr>
          <w:rFonts w:eastAsiaTheme="minorEastAsia"/>
          <w:kern w:val="0"/>
        </w:rPr>
        <w:t xml:space="preserve">  </w:t>
      </w:r>
      <w:r w:rsidR="00443992">
        <w:rPr>
          <w:rFonts w:eastAsiaTheme="minorEastAsia"/>
          <w:kern w:val="0"/>
        </w:rPr>
        <w:t xml:space="preserve"> </w:t>
      </w:r>
      <w:r w:rsidRPr="00784F5F">
        <w:rPr>
          <w:rFonts w:eastAsiaTheme="minorEastAsia"/>
          <w:kern w:val="0"/>
        </w:rPr>
        <w:t>Na odstupnom vyplatila spoločnosť spolu s odvodmi a príslušenstvom 39 401,53 eur</w:t>
      </w:r>
    </w:p>
    <w:p w14:paraId="132EF54D" w14:textId="77777777" w:rsidR="00784F5F" w:rsidRPr="00784F5F" w:rsidRDefault="00784F5F" w:rsidP="00784F5F">
      <w:pPr>
        <w:widowControl/>
        <w:suppressAutoHyphens w:val="0"/>
        <w:spacing w:after="160"/>
        <w:jc w:val="both"/>
        <w:rPr>
          <w:rFonts w:eastAsiaTheme="minorEastAsia"/>
          <w:kern w:val="0"/>
        </w:rPr>
      </w:pPr>
      <w:r w:rsidRPr="00784F5F">
        <w:rPr>
          <w:rFonts w:eastAsiaTheme="minorEastAsia"/>
          <w:kern w:val="0"/>
        </w:rPr>
        <w:t xml:space="preserve">   Spoločnosť má v nákladoch odpisy lesných ciest, zároveň vo výnosoch je v rovnakej výške zúčtovaná časť dotácie.</w:t>
      </w:r>
    </w:p>
    <w:p w14:paraId="154E8A32" w14:textId="77777777" w:rsidR="00784F5F" w:rsidRPr="00784F5F" w:rsidRDefault="00784F5F" w:rsidP="00784F5F">
      <w:pPr>
        <w:widowControl/>
        <w:suppressAutoHyphens w:val="0"/>
        <w:spacing w:after="160"/>
        <w:jc w:val="both"/>
        <w:rPr>
          <w:rFonts w:eastAsiaTheme="minorEastAsia"/>
          <w:kern w:val="0"/>
        </w:rPr>
      </w:pPr>
      <w:r w:rsidRPr="00784F5F">
        <w:rPr>
          <w:rFonts w:eastAsiaTheme="minorEastAsia"/>
          <w:kern w:val="0"/>
        </w:rPr>
        <w:t xml:space="preserve">         Kontrolou boli zistené tieto nedostatky:</w:t>
      </w:r>
    </w:p>
    <w:p w14:paraId="01186F4B" w14:textId="77777777" w:rsidR="00784F5F" w:rsidRPr="00784F5F" w:rsidRDefault="00784F5F" w:rsidP="00784F5F">
      <w:pPr>
        <w:widowControl/>
        <w:suppressAutoHyphens w:val="0"/>
        <w:spacing w:after="160"/>
        <w:jc w:val="both"/>
        <w:rPr>
          <w:rFonts w:eastAsiaTheme="minorEastAsia"/>
          <w:color w:val="494949"/>
          <w:kern w:val="0"/>
          <w:shd w:val="clear" w:color="auto" w:fill="FFFFFF"/>
        </w:rPr>
      </w:pPr>
      <w:r w:rsidRPr="00784F5F">
        <w:rPr>
          <w:rFonts w:eastAsiaTheme="minorEastAsia"/>
          <w:kern w:val="0"/>
        </w:rPr>
        <w:t xml:space="preserve">1.Pri kontrole bolo zistené, že Mestský podnik Spišská Belá, s. r. o. nefakturuje mestu Spišská Belá </w:t>
      </w:r>
      <w:r w:rsidRPr="00784F5F">
        <w:rPr>
          <w:rFonts w:eastAsiaTheme="minorEastAsia"/>
          <w:color w:val="494949"/>
          <w:kern w:val="0"/>
          <w:shd w:val="clear" w:color="auto" w:fill="FFFFFF"/>
        </w:rPr>
        <w:t xml:space="preserve">náklady, ktoré vznikajú nedôsledným triedením oddelene zbieraných zložiek komunálneho odpadu, t. j. nesprávne vyseparovaný odpad, ktorý sa musí odviezť na skládku vyváža spoločnosť na vlastné náklady. Množstvá neboli zvlášť vážené, z toho dôvodu nebolo možné vyčísliť stratu z nesprávneho postupu. V máji 2024 začala spoločnosť uvedené náklady fakturovať mestu. </w:t>
      </w:r>
    </w:p>
    <w:p w14:paraId="21723C88" w14:textId="77777777" w:rsidR="00784F5F" w:rsidRPr="00784F5F" w:rsidRDefault="00784F5F" w:rsidP="00784F5F">
      <w:pPr>
        <w:widowControl/>
        <w:suppressAutoHyphens w:val="0"/>
        <w:spacing w:after="160"/>
        <w:jc w:val="both"/>
        <w:rPr>
          <w:rFonts w:eastAsiaTheme="minorEastAsia"/>
          <w:color w:val="494949"/>
          <w:kern w:val="0"/>
          <w:shd w:val="clear" w:color="auto" w:fill="FFFFFF"/>
        </w:rPr>
      </w:pPr>
      <w:r w:rsidRPr="00784F5F">
        <w:rPr>
          <w:rFonts w:eastAsiaTheme="minorEastAsia"/>
          <w:color w:val="494949"/>
          <w:kern w:val="0"/>
          <w:shd w:val="clear" w:color="auto" w:fill="FFFFFF"/>
        </w:rPr>
        <w:t xml:space="preserve">2. Spoločnosť vystavila v dvoch prípadoch úhrady faktúry v hotovosti  príjmový doklad  (úhrada faktúry č. 23220176 z 18. 8. 2023 v sume 359,65 eur a faktúry č. 23450004 z 21. 9. 2023 v sume 115,20 eur), čím porušila ustanovenia § 3 ods. 1 zákona č. 289/2008 Z. z. o   </w:t>
      </w:r>
      <w:r w:rsidRPr="00784F5F">
        <w:rPr>
          <w:rFonts w:eastAsiaTheme="minorEastAsia"/>
          <w:bCs/>
          <w:color w:val="000000"/>
          <w:kern w:val="0"/>
          <w:shd w:val="clear" w:color="auto" w:fill="FFFFFF"/>
        </w:rPr>
        <w:t xml:space="preserve"> používaní elektronickej registračnej pokladnice a o zmene a doplnení zákona č. 511/1992 Zb.  v zn.  n. p., keďže </w:t>
      </w:r>
      <w:r w:rsidRPr="00784F5F">
        <w:rPr>
          <w:rFonts w:eastAsiaTheme="minorEastAsia"/>
          <w:color w:val="494949"/>
          <w:kern w:val="0"/>
          <w:shd w:val="clear" w:color="auto" w:fill="FFFFFF"/>
        </w:rPr>
        <w:t xml:space="preserve"> nepoužila elektronickú registračnú pokladnicu alebo pokladnicu e-kasa klient na evidenciu tržby.</w:t>
      </w:r>
    </w:p>
    <w:p w14:paraId="3688EE4C" w14:textId="77777777" w:rsidR="00784F5F" w:rsidRPr="00784F5F" w:rsidRDefault="00784F5F" w:rsidP="00784F5F">
      <w:pPr>
        <w:widowControl/>
        <w:suppressAutoHyphens w:val="0"/>
        <w:spacing w:after="160"/>
        <w:jc w:val="both"/>
        <w:rPr>
          <w:rFonts w:eastAsiaTheme="minorEastAsia"/>
          <w:kern w:val="0"/>
        </w:rPr>
      </w:pPr>
      <w:r w:rsidRPr="00784F5F">
        <w:rPr>
          <w:rFonts w:eastAsiaTheme="minorEastAsia"/>
          <w:kern w:val="0"/>
        </w:rPr>
        <w:lastRenderedPageBreak/>
        <w:t>3. Spoločnosť platila mesačne 100,00 eur za právne služby, po vyžiadaní konkrétnych úkonov, služieb bolo zistené, že tento náklad v celkovej výške 1 200 eur za celý rok  je nehospodárny a neefektívny. Spoločnosť v roku 2024 ukončila túto predmetnú zmluvu.</w:t>
      </w:r>
    </w:p>
    <w:p w14:paraId="3E2AA420" w14:textId="77777777" w:rsidR="00784F5F" w:rsidRPr="00784F5F" w:rsidRDefault="00784F5F" w:rsidP="00784F5F">
      <w:pPr>
        <w:widowControl/>
        <w:suppressAutoHyphens w:val="0"/>
        <w:spacing w:after="160"/>
        <w:jc w:val="both"/>
        <w:rPr>
          <w:rFonts w:eastAsiaTheme="minorEastAsia"/>
          <w:kern w:val="0"/>
        </w:rPr>
      </w:pPr>
      <w:r w:rsidRPr="00784F5F">
        <w:rPr>
          <w:rFonts w:eastAsiaTheme="minorEastAsia"/>
          <w:kern w:val="0"/>
        </w:rPr>
        <w:t xml:space="preserve">4. MPSB evidoval  k 31. 12. 2023 nedoplatok vo výške  153 696,95 eur (k 31. 12. 2022 to bolo 156 072,99 eur), pri tvorbe Environmentálneho fondu v zmysle zákona č. 329/2018 Z. z. o </w:t>
      </w:r>
      <w:r w:rsidRPr="00784F5F">
        <w:rPr>
          <w:rFonts w:eastAsiaTheme="minorEastAsia"/>
          <w:bCs/>
          <w:color w:val="000000"/>
          <w:kern w:val="0"/>
          <w:shd w:val="clear" w:color="auto" w:fill="FFFFFF"/>
        </w:rPr>
        <w:t xml:space="preserve"> poplatkoch za uloženie odpadov a o zmene a doplnení zákona</w:t>
      </w:r>
      <w:r w:rsidRPr="00784F5F">
        <w:rPr>
          <w:rFonts w:eastAsiaTheme="minorEastAsia"/>
          <w:bCs/>
          <w:color w:val="000000"/>
          <w:kern w:val="0"/>
        </w:rPr>
        <w:t xml:space="preserve"> </w:t>
      </w:r>
      <w:r w:rsidRPr="00784F5F">
        <w:rPr>
          <w:rFonts w:eastAsiaTheme="minorEastAsia"/>
          <w:bCs/>
          <w:color w:val="000000"/>
          <w:kern w:val="0"/>
          <w:shd w:val="clear" w:color="auto" w:fill="FFFFFF"/>
        </w:rPr>
        <w:t>č. 587/2004 Z. z. o Environmentálnom fonde a o zmene a doplnení niektorých zákonov v zn. n. p.</w:t>
      </w:r>
      <w:r w:rsidRPr="00784F5F">
        <w:rPr>
          <w:rFonts w:eastAsiaTheme="minorEastAsia"/>
          <w:kern w:val="0"/>
        </w:rPr>
        <w:t> . Tieto poplatky boli vybraté a zaplatené dodávateľmi pri uložení odpadov na skládku. Za oneskorené zaplatenie poplatkov v zmysle zákona hrozí MPSB sankcia vo výške 0,2 %  z  dlžnej sumy za každý deň omeškania. Spoločnosť zaplatila v roku 2023  2 379,04 eur.</w:t>
      </w:r>
    </w:p>
    <w:p w14:paraId="04E73EF0" w14:textId="77777777" w:rsidR="00784F5F" w:rsidRPr="00784F5F" w:rsidRDefault="00784F5F" w:rsidP="00784F5F">
      <w:pPr>
        <w:widowControl/>
        <w:suppressAutoHyphens w:val="0"/>
        <w:spacing w:after="160"/>
        <w:jc w:val="both"/>
        <w:rPr>
          <w:rFonts w:eastAsiaTheme="minorEastAsia"/>
          <w:kern w:val="0"/>
        </w:rPr>
      </w:pPr>
      <w:r w:rsidRPr="00784F5F">
        <w:rPr>
          <w:rFonts w:eastAsiaTheme="minorEastAsia"/>
          <w:kern w:val="0"/>
        </w:rPr>
        <w:t xml:space="preserve">5. Na vykrytie nedostatku finančných prostriedkov požiadala spoločnosť  mesto pôžičku, táto bola dňa 29. 3. 2023 poskytnutá vo výške 47 210,00 eur.  Pôvodný dátum splatnosti bol do 31. 12. 2023, spoločnosť k tomuto termínu zaplatila len  časť pôžičky vo výške 13 000,00 eur,   mestské zastupiteľstvo súhlasilo s predĺžením splatnosti do 31. 12. 2024 uznesením č. 8/2024 zo dňa 8. 2. 2024.   </w:t>
      </w:r>
    </w:p>
    <w:p w14:paraId="36663276" w14:textId="77777777" w:rsidR="00784F5F" w:rsidRPr="00784F5F" w:rsidRDefault="00784F5F" w:rsidP="00784F5F">
      <w:pPr>
        <w:widowControl/>
        <w:suppressAutoHyphens w:val="0"/>
        <w:jc w:val="both"/>
        <w:rPr>
          <w:rFonts w:eastAsiaTheme="minorEastAsia"/>
          <w:kern w:val="0"/>
        </w:rPr>
      </w:pPr>
      <w:r w:rsidRPr="00784F5F">
        <w:rPr>
          <w:rFonts w:eastAsiaTheme="minorEastAsia"/>
          <w:kern w:val="0"/>
        </w:rPr>
        <w:t>6.  MPSB  je  povinnou  osobou  sprístupňovať  informácie  v  zmysle § 2 ods. 3 zákona č.  211/2000 Z. z. zákona o slobodnom prístupe k informáciám a o zmene a doplnení niektorých zákonov (zákon o slobode informácií) v znení neskorších predpisov. MPSB povinnosti vyplývajúce z citovaného zákona v oku 2023 neplnil. Stránka podniku je neaktualizovaná, obyvatelia nenájdu konkrétne informácie o uložení odpadu, spôsobe separovania a pod.</w:t>
      </w:r>
    </w:p>
    <w:p w14:paraId="09AAB854" w14:textId="77777777" w:rsidR="00784F5F" w:rsidRPr="00784F5F" w:rsidRDefault="00784F5F" w:rsidP="00784F5F">
      <w:pPr>
        <w:widowControl/>
        <w:suppressAutoHyphens w:val="0"/>
        <w:spacing w:after="160"/>
        <w:jc w:val="both"/>
        <w:rPr>
          <w:rFonts w:eastAsiaTheme="minorEastAsia"/>
          <w:kern w:val="0"/>
        </w:rPr>
      </w:pPr>
    </w:p>
    <w:p w14:paraId="756E31B9" w14:textId="77777777" w:rsidR="00784F5F" w:rsidRPr="00784F5F" w:rsidRDefault="00784F5F" w:rsidP="00784F5F">
      <w:pPr>
        <w:widowControl/>
        <w:suppressAutoHyphens w:val="0"/>
        <w:spacing w:after="160"/>
        <w:jc w:val="both"/>
        <w:rPr>
          <w:rFonts w:eastAsiaTheme="minorEastAsia"/>
          <w:kern w:val="0"/>
        </w:rPr>
      </w:pPr>
      <w:r w:rsidRPr="00784F5F">
        <w:rPr>
          <w:rFonts w:eastAsiaTheme="minorEastAsia"/>
          <w:kern w:val="0"/>
        </w:rPr>
        <w:t xml:space="preserve">7.  Mestský podnik Spišská Belá s. r. o. dlhodobo  nepredkladá po vykonaných kontrolách návrhy opatrení na odstránenie nedostatkov, na ich nápravu a na odstránenie príčin ich vzniku. Pri kontrolách sú neustále zisťované problémy s nehospodárnym a neefektívnym vynakladaním prostriedkov. Nie sú s mestom zmluvne doriešené vzťahy k majetku (garáž pre kompaktor, cesta), ktorý vybudoval na vlastné náklady napr. na skládke odpadov, ktorá je v majetku mesta  (súhlas mesta na vybudovanie, podmienky, spôsob zaúčtovania  a podobne). </w:t>
      </w:r>
    </w:p>
    <w:p w14:paraId="20AAA058" w14:textId="239071BC" w:rsidR="00784F5F" w:rsidRDefault="00784F5F" w:rsidP="00784F5F">
      <w:pPr>
        <w:widowControl/>
        <w:suppressAutoHyphens w:val="0"/>
        <w:jc w:val="both"/>
        <w:rPr>
          <w:rFonts w:eastAsiaTheme="minorEastAsia"/>
          <w:kern w:val="0"/>
        </w:rPr>
      </w:pPr>
      <w:r w:rsidRPr="00784F5F">
        <w:rPr>
          <w:rFonts w:eastAsiaTheme="minorEastAsia"/>
          <w:kern w:val="0"/>
        </w:rPr>
        <w:t xml:space="preserve">     Mestský podnik Spišská Belá s. r. o. je povinný prijať účinné opatrenia na odstránenie nedostatkov a príčin ich vzniku. </w:t>
      </w:r>
    </w:p>
    <w:p w14:paraId="7767F3D0" w14:textId="6A016D71" w:rsidR="00784F5F" w:rsidRDefault="00784F5F" w:rsidP="00784F5F">
      <w:pPr>
        <w:widowControl/>
        <w:suppressAutoHyphens w:val="0"/>
        <w:jc w:val="both"/>
        <w:rPr>
          <w:rFonts w:eastAsiaTheme="minorEastAsia"/>
          <w:kern w:val="0"/>
        </w:rPr>
      </w:pPr>
    </w:p>
    <w:p w14:paraId="673F5B08" w14:textId="77777777" w:rsidR="00784F5F" w:rsidRPr="00784F5F" w:rsidRDefault="00784F5F" w:rsidP="00784F5F">
      <w:pPr>
        <w:widowControl/>
        <w:suppressAutoHyphens w:val="0"/>
        <w:jc w:val="both"/>
        <w:rPr>
          <w:rFonts w:eastAsiaTheme="minorEastAsia"/>
          <w:kern w:val="0"/>
        </w:rPr>
      </w:pPr>
    </w:p>
    <w:p w14:paraId="6F9F2907" w14:textId="48917FDB" w:rsidR="00981097" w:rsidRPr="00981097" w:rsidRDefault="00784F5F" w:rsidP="00981097">
      <w:pPr>
        <w:widowControl/>
        <w:numPr>
          <w:ilvl w:val="0"/>
          <w:numId w:val="5"/>
        </w:numPr>
        <w:suppressAutoHyphens w:val="0"/>
        <w:autoSpaceDN w:val="0"/>
        <w:spacing w:before="240" w:after="160" w:line="259" w:lineRule="auto"/>
        <w:contextualSpacing/>
        <w:jc w:val="both"/>
        <w:rPr>
          <w:rFonts w:eastAsiaTheme="minorHAnsi"/>
          <w:b/>
          <w:kern w:val="0"/>
          <w:lang w:val="en-US" w:eastAsia="en-US"/>
        </w:rPr>
      </w:pPr>
      <w:r>
        <w:rPr>
          <w:rFonts w:eastAsiaTheme="minorHAnsi"/>
          <w:b/>
          <w:kern w:val="0"/>
          <w:lang w:eastAsia="en-US"/>
        </w:rPr>
        <w:t>kontrola</w:t>
      </w:r>
      <w:r w:rsidR="00981097" w:rsidRPr="00981097">
        <w:rPr>
          <w:rFonts w:eastAsia="Andale Sans UI"/>
          <w:kern w:val="3"/>
          <w:lang w:eastAsia="ja-JP" w:bidi="fa-IR"/>
        </w:rPr>
        <w:t xml:space="preserve"> </w:t>
      </w:r>
      <w:r w:rsidR="00981097" w:rsidRPr="00981097">
        <w:rPr>
          <w:rFonts w:eastAsiaTheme="minorHAnsi"/>
          <w:b/>
          <w:kern w:val="0"/>
          <w:lang w:eastAsia="en-US"/>
        </w:rPr>
        <w:t>hospodárnos</w:t>
      </w:r>
      <w:r w:rsidR="00981097">
        <w:rPr>
          <w:rFonts w:eastAsiaTheme="minorHAnsi"/>
          <w:b/>
          <w:kern w:val="0"/>
          <w:lang w:eastAsia="en-US"/>
        </w:rPr>
        <w:t>ti</w:t>
      </w:r>
      <w:r w:rsidR="00981097" w:rsidRPr="00981097">
        <w:rPr>
          <w:rFonts w:eastAsiaTheme="minorHAnsi"/>
          <w:b/>
          <w:kern w:val="0"/>
          <w:lang w:eastAsia="en-US"/>
        </w:rPr>
        <w:t xml:space="preserve"> vynaložených nákladov na využívanie služobných mobilných telefónov v roku 2023.</w:t>
      </w:r>
    </w:p>
    <w:p w14:paraId="06A2232D" w14:textId="152C393C" w:rsidR="00981097" w:rsidRDefault="00981097" w:rsidP="00981097">
      <w:pPr>
        <w:widowControl/>
        <w:suppressAutoHyphens w:val="0"/>
        <w:autoSpaceDN w:val="0"/>
        <w:spacing w:before="240" w:after="160" w:line="259" w:lineRule="auto"/>
        <w:contextualSpacing/>
        <w:jc w:val="both"/>
        <w:rPr>
          <w:rFonts w:eastAsiaTheme="minorHAnsi"/>
          <w:b/>
          <w:kern w:val="0"/>
          <w:lang w:val="en-US" w:eastAsia="en-US"/>
        </w:rPr>
      </w:pPr>
    </w:p>
    <w:p w14:paraId="7A4DF798" w14:textId="77777777" w:rsidR="00981097" w:rsidRPr="00981097" w:rsidRDefault="00981097" w:rsidP="00981097">
      <w:pPr>
        <w:tabs>
          <w:tab w:val="left" w:pos="495"/>
        </w:tabs>
        <w:autoSpaceDN w:val="0"/>
        <w:jc w:val="both"/>
        <w:rPr>
          <w:rFonts w:eastAsia="Andale Sans UI" w:cs="Tahoma"/>
          <w:kern w:val="3"/>
          <w:lang w:val="en-US" w:eastAsia="ja-JP" w:bidi="fa-IR"/>
        </w:rPr>
      </w:pPr>
      <w:r w:rsidRPr="00981097">
        <w:rPr>
          <w:rFonts w:eastAsia="Andale Sans UI" w:cs="Tahoma"/>
          <w:b/>
          <w:kern w:val="3"/>
          <w:lang w:val="en-US" w:eastAsia="ja-JP" w:bidi="fa-IR"/>
        </w:rPr>
        <w:t xml:space="preserve">     </w:t>
      </w:r>
      <w:r w:rsidRPr="00981097">
        <w:rPr>
          <w:rFonts w:eastAsia="Andale Sans UI" w:cs="Tahoma"/>
          <w:kern w:val="3"/>
          <w:lang w:val="en-US" w:eastAsia="ja-JP" w:bidi="fa-IR"/>
        </w:rPr>
        <w:t xml:space="preserve">Kontrolou bolo zistené, že pri prideľovaní služboných telefónov a ich využívaní mesto nepostupuje podľa žiadneho vnútorného predpisu. Zaužívané je pridelenie služobného mobilného telefónu podľa rozhodnutia primátora, resp. vedúceho odboru. Zamestnanec má nárok na telefónny prístroj za 1 euro z ponuky operátora, ak chce drahší telefón, zaplatí si ho a tento ostáva majetkom zamestnanca. </w:t>
      </w:r>
    </w:p>
    <w:p w14:paraId="1C207C21" w14:textId="77777777" w:rsidR="00981097" w:rsidRPr="00981097" w:rsidRDefault="00981097" w:rsidP="00981097">
      <w:pPr>
        <w:tabs>
          <w:tab w:val="left" w:pos="495"/>
        </w:tabs>
        <w:autoSpaceDN w:val="0"/>
        <w:jc w:val="both"/>
        <w:rPr>
          <w:rFonts w:eastAsia="Andale Sans UI" w:cs="Tahoma"/>
          <w:kern w:val="3"/>
          <w:lang w:val="en-US" w:eastAsia="ja-JP" w:bidi="fa-IR"/>
        </w:rPr>
      </w:pPr>
    </w:p>
    <w:p w14:paraId="2546C5D9" w14:textId="77777777" w:rsidR="00981097" w:rsidRPr="00981097" w:rsidRDefault="00981097" w:rsidP="00981097">
      <w:pPr>
        <w:tabs>
          <w:tab w:val="left" w:pos="495"/>
        </w:tabs>
        <w:autoSpaceDN w:val="0"/>
        <w:jc w:val="both"/>
        <w:rPr>
          <w:rFonts w:eastAsia="Andale Sans UI" w:cs="Tahoma"/>
          <w:kern w:val="3"/>
          <w:lang w:val="en-US" w:eastAsia="ja-JP" w:bidi="fa-IR"/>
        </w:rPr>
      </w:pPr>
      <w:r w:rsidRPr="00981097">
        <w:rPr>
          <w:rFonts w:eastAsia="Andale Sans UI" w:cs="Tahoma"/>
          <w:kern w:val="3"/>
          <w:lang w:val="en-US" w:eastAsia="ja-JP" w:bidi="fa-IR"/>
        </w:rPr>
        <w:t xml:space="preserve">    Pri kontrole účtovníctva bolo zistené, že k 31. 3. 2024 všetci zamestnanci uhradili svoje záväzky voči mestu, ktoré im vznikli kúpou telefónnych prístrojov.</w:t>
      </w:r>
    </w:p>
    <w:p w14:paraId="30F44092" w14:textId="77777777" w:rsidR="00981097" w:rsidRPr="00981097" w:rsidRDefault="00981097" w:rsidP="00981097">
      <w:pPr>
        <w:tabs>
          <w:tab w:val="left" w:pos="495"/>
        </w:tabs>
        <w:autoSpaceDN w:val="0"/>
        <w:jc w:val="both"/>
        <w:rPr>
          <w:rFonts w:eastAsia="Andale Sans UI" w:cs="Tahoma"/>
          <w:kern w:val="3"/>
          <w:lang w:val="en-US" w:eastAsia="ja-JP" w:bidi="fa-IR"/>
        </w:rPr>
      </w:pPr>
      <w:r w:rsidRPr="00981097">
        <w:rPr>
          <w:rFonts w:eastAsia="Andale Sans UI" w:cs="Tahoma"/>
          <w:kern w:val="3"/>
          <w:lang w:val="en-US" w:eastAsia="ja-JP" w:bidi="fa-IR"/>
        </w:rPr>
        <w:t xml:space="preserve">    Náklady na služobné mobilné hovory a dáta boli v roku 2023 v meste vo výške  5 524,90 eur,</w:t>
      </w:r>
    </w:p>
    <w:p w14:paraId="255DE214" w14:textId="77777777" w:rsidR="00981097" w:rsidRPr="00981097" w:rsidRDefault="00981097" w:rsidP="00981097">
      <w:pPr>
        <w:tabs>
          <w:tab w:val="left" w:pos="495"/>
        </w:tabs>
        <w:autoSpaceDN w:val="0"/>
        <w:jc w:val="both"/>
        <w:rPr>
          <w:rFonts w:eastAsia="Andale Sans UI" w:cs="Tahoma"/>
          <w:kern w:val="3"/>
          <w:lang w:val="en-US" w:eastAsia="ja-JP" w:bidi="fa-IR"/>
        </w:rPr>
      </w:pPr>
      <w:r w:rsidRPr="00981097">
        <w:rPr>
          <w:rFonts w:eastAsia="Andale Sans UI" w:cs="Tahoma"/>
          <w:kern w:val="3"/>
          <w:lang w:val="en-US" w:eastAsia="ja-JP" w:bidi="fa-IR"/>
        </w:rPr>
        <w:t xml:space="preserve"> </w:t>
      </w:r>
    </w:p>
    <w:p w14:paraId="1DB6E638" w14:textId="77777777" w:rsidR="00981097" w:rsidRPr="00981097" w:rsidRDefault="00981097" w:rsidP="00981097">
      <w:pPr>
        <w:tabs>
          <w:tab w:val="left" w:pos="495"/>
        </w:tabs>
        <w:autoSpaceDN w:val="0"/>
        <w:jc w:val="both"/>
        <w:rPr>
          <w:rFonts w:eastAsia="Andale Sans UI" w:cs="Tahoma"/>
          <w:kern w:val="3"/>
          <w:lang w:val="en-US" w:eastAsia="ja-JP" w:bidi="fa-IR"/>
        </w:rPr>
      </w:pPr>
      <w:r w:rsidRPr="00981097">
        <w:rPr>
          <w:rFonts w:eastAsia="Andale Sans UI" w:cs="Tahoma"/>
          <w:kern w:val="3"/>
          <w:lang w:val="en-US" w:eastAsia="ja-JP" w:bidi="fa-IR"/>
        </w:rPr>
        <w:t xml:space="preserve">    V roku 2023 bolo zamestnacom  pridelených 24 služobných SIM kariet s rovnakým paušálom GO Biznis  22  (neobmedzené volania v SR, SMS a 4 GB dátový balík). Kontrolou boli zistené občasné minimálne prekročenia paušálov z dôvodu, ak zamestnanec zavolal do zahraničia, za </w:t>
      </w:r>
      <w:r w:rsidRPr="00981097">
        <w:rPr>
          <w:rFonts w:eastAsia="Andale Sans UI" w:cs="Tahoma"/>
          <w:kern w:val="3"/>
          <w:lang w:val="en-US" w:eastAsia="ja-JP" w:bidi="fa-IR"/>
        </w:rPr>
        <w:lastRenderedPageBreak/>
        <w:t xml:space="preserve">čo sa účtovali naviac minimálne poplatky. Zamestnanci prekročené sumy naviac zaplatili do pokladne mesta. </w:t>
      </w:r>
    </w:p>
    <w:p w14:paraId="0CAABABA" w14:textId="77777777" w:rsidR="00981097" w:rsidRPr="00981097" w:rsidRDefault="00981097" w:rsidP="00981097">
      <w:pPr>
        <w:tabs>
          <w:tab w:val="left" w:pos="495"/>
        </w:tabs>
        <w:autoSpaceDN w:val="0"/>
        <w:jc w:val="both"/>
        <w:rPr>
          <w:rFonts w:eastAsia="Andale Sans UI"/>
          <w:kern w:val="3"/>
          <w:lang w:val="en-US" w:eastAsia="ja-JP" w:bidi="fa-IR"/>
        </w:rPr>
      </w:pPr>
    </w:p>
    <w:p w14:paraId="0CCA36E2" w14:textId="77777777" w:rsidR="00981097" w:rsidRPr="00981097" w:rsidRDefault="00981097" w:rsidP="00981097">
      <w:pPr>
        <w:widowControl/>
        <w:suppressAutoHyphens w:val="0"/>
        <w:spacing w:after="160" w:line="256" w:lineRule="auto"/>
        <w:jc w:val="both"/>
        <w:rPr>
          <w:rFonts w:eastAsiaTheme="minorHAnsi"/>
          <w:b/>
          <w:kern w:val="0"/>
          <w:lang w:eastAsia="en-US"/>
        </w:rPr>
      </w:pPr>
      <w:r w:rsidRPr="00981097">
        <w:rPr>
          <w:rFonts w:eastAsiaTheme="minorHAnsi"/>
          <w:kern w:val="0"/>
          <w:lang w:eastAsia="en-US"/>
        </w:rPr>
        <w:t xml:space="preserve">     </w:t>
      </w:r>
      <w:r w:rsidRPr="00981097">
        <w:rPr>
          <w:rFonts w:eastAsiaTheme="minorHAnsi"/>
          <w:b/>
          <w:kern w:val="0"/>
          <w:lang w:eastAsia="en-US"/>
        </w:rPr>
        <w:t>Zistené nedostatky:</w:t>
      </w:r>
    </w:p>
    <w:p w14:paraId="44A83040" w14:textId="77777777" w:rsidR="00981097" w:rsidRPr="00981097" w:rsidRDefault="00981097" w:rsidP="00981097">
      <w:pPr>
        <w:widowControl/>
        <w:numPr>
          <w:ilvl w:val="0"/>
          <w:numId w:val="7"/>
        </w:numPr>
        <w:suppressAutoHyphens w:val="0"/>
        <w:spacing w:after="160" w:line="256" w:lineRule="auto"/>
        <w:contextualSpacing/>
        <w:jc w:val="both"/>
        <w:rPr>
          <w:rFonts w:eastAsiaTheme="minorHAnsi"/>
          <w:kern w:val="0"/>
          <w:lang w:eastAsia="en-US"/>
        </w:rPr>
      </w:pPr>
      <w:r w:rsidRPr="00981097">
        <w:rPr>
          <w:rFonts w:eastAsiaTheme="minorHAnsi"/>
          <w:kern w:val="0"/>
          <w:lang w:eastAsia="en-US"/>
        </w:rPr>
        <w:t>Mesto nemá stanovený okruh zamestnancov, ktorým prideľuje služobné mobilné telefóny, ani podmienky ich prideľovania a využívania – nie je možné skontrolovať ako sú prideľované, komu skončil nárok na služobný mobil a podobne, z predložených dokladov bolo možné skontrolovať len využívanie pridelených paušálov.</w:t>
      </w:r>
    </w:p>
    <w:p w14:paraId="034FF147" w14:textId="77777777" w:rsidR="00981097" w:rsidRPr="00981097" w:rsidRDefault="00981097" w:rsidP="00981097">
      <w:pPr>
        <w:widowControl/>
        <w:numPr>
          <w:ilvl w:val="0"/>
          <w:numId w:val="7"/>
        </w:numPr>
        <w:suppressAutoHyphens w:val="0"/>
        <w:spacing w:after="160" w:line="256" w:lineRule="auto"/>
        <w:contextualSpacing/>
        <w:jc w:val="both"/>
        <w:rPr>
          <w:rFonts w:eastAsiaTheme="minorHAnsi"/>
          <w:kern w:val="0"/>
          <w:lang w:eastAsia="en-US"/>
        </w:rPr>
      </w:pPr>
      <w:r w:rsidRPr="00981097">
        <w:rPr>
          <w:rFonts w:eastAsiaTheme="minorHAnsi"/>
          <w:kern w:val="0"/>
          <w:lang w:eastAsia="en-US"/>
        </w:rPr>
        <w:t xml:space="preserve"> Mesto platilo paušál počas dlhodobej PN  zamestnanca.  Platby  mesačného poplatku Go Biznis pre zamestnanca na PN považujem za nehospodárne, neefektívne a neúčinné vynaloženie verejných prostriedkov. Zamestnanec  v čase lekárom uznanej práceneschopnosti má ospravedlniteľný dôvod nebyť v práci,  nie je oprávnený vykonávať  prácu v zmysle uzatvorenej pracovnej zmluvy, lebo musí dodržiavať liečebný režim, preto nemá dôvod používať zamestnávateľom platené paušály na služobné účely. Tieto mohli byť posunuté inému zamestnancovi. Paušály boli využívané   podľa rozpisu prevolaných minút, teda boli použité na súkromné účely. Z týchto </w:t>
      </w:r>
    </w:p>
    <w:p w14:paraId="2CE7E518" w14:textId="77777777" w:rsidR="00981097" w:rsidRPr="00981097" w:rsidRDefault="00981097" w:rsidP="00981097">
      <w:pPr>
        <w:widowControl/>
        <w:suppressAutoHyphens w:val="0"/>
        <w:spacing w:after="160" w:line="256" w:lineRule="auto"/>
        <w:ind w:left="720"/>
        <w:contextualSpacing/>
        <w:jc w:val="both"/>
        <w:rPr>
          <w:rFonts w:eastAsiaTheme="minorHAnsi"/>
          <w:kern w:val="0"/>
          <w:lang w:eastAsia="en-US"/>
        </w:rPr>
      </w:pPr>
      <w:r w:rsidRPr="00981097">
        <w:rPr>
          <w:rFonts w:eastAsiaTheme="minorHAnsi"/>
          <w:kern w:val="0"/>
          <w:lang w:eastAsia="en-US"/>
        </w:rPr>
        <w:t xml:space="preserve">dôvodov boli porušené vyššie uvedené princípy nakladania s majetkom mesta, nebola správne vykonávaná finančná kontrola  a mestu bola  spôsobená ujma  vo výške 188,75 eur (za obdobie jún 2023 – apríl 2024). </w:t>
      </w:r>
    </w:p>
    <w:p w14:paraId="574C9B51" w14:textId="77777777" w:rsidR="00981097" w:rsidRPr="00981097" w:rsidRDefault="00981097" w:rsidP="00981097">
      <w:pPr>
        <w:widowControl/>
        <w:numPr>
          <w:ilvl w:val="0"/>
          <w:numId w:val="7"/>
        </w:numPr>
        <w:suppressAutoHyphens w:val="0"/>
        <w:spacing w:after="160" w:line="256" w:lineRule="auto"/>
        <w:contextualSpacing/>
        <w:jc w:val="both"/>
        <w:rPr>
          <w:rFonts w:eastAsiaTheme="minorHAnsi"/>
          <w:kern w:val="0"/>
          <w:lang w:eastAsia="en-US"/>
        </w:rPr>
      </w:pPr>
      <w:r w:rsidRPr="00981097">
        <w:rPr>
          <w:rFonts w:eastAsiaTheme="minorHAnsi"/>
          <w:kern w:val="0"/>
          <w:lang w:eastAsia="en-US"/>
        </w:rPr>
        <w:t xml:space="preserve">Mesto môže predísť rôznym nedostatkom, určiť zamestnancom  jasný  postup  tým, že  </w:t>
      </w:r>
      <w:r w:rsidRPr="00981097">
        <w:rPr>
          <w:rFonts w:eastAsiaTheme="minorHAnsi"/>
          <w:color w:val="282828"/>
          <w:kern w:val="0"/>
          <w:shd w:val="clear" w:color="auto" w:fill="F8F8F8"/>
          <w:lang w:eastAsia="en-US"/>
        </w:rPr>
        <w:t>stanoví jednotné pravidlá prideľovania a používania služobných mobilných telefónov, dodržiavania stanovených finančných limitov a podobne.</w:t>
      </w:r>
    </w:p>
    <w:p w14:paraId="095E6A44" w14:textId="77777777" w:rsidR="00981097" w:rsidRPr="00981097" w:rsidRDefault="00981097" w:rsidP="00981097">
      <w:pPr>
        <w:widowControl/>
        <w:suppressAutoHyphens w:val="0"/>
        <w:autoSpaceDN w:val="0"/>
        <w:spacing w:before="240" w:after="160" w:line="259" w:lineRule="auto"/>
        <w:contextualSpacing/>
        <w:jc w:val="both"/>
        <w:rPr>
          <w:rFonts w:eastAsiaTheme="minorHAnsi"/>
          <w:b/>
          <w:i/>
          <w:kern w:val="0"/>
          <w:lang w:val="en-US" w:eastAsia="en-US"/>
        </w:rPr>
      </w:pPr>
    </w:p>
    <w:p w14:paraId="1FF07970" w14:textId="553D91CB" w:rsidR="00981097" w:rsidRPr="00981097" w:rsidRDefault="00784F5F" w:rsidP="00981097">
      <w:pPr>
        <w:widowControl/>
        <w:numPr>
          <w:ilvl w:val="0"/>
          <w:numId w:val="5"/>
        </w:numPr>
        <w:suppressAutoHyphens w:val="0"/>
        <w:autoSpaceDN w:val="0"/>
        <w:spacing w:before="240" w:after="160" w:line="259" w:lineRule="auto"/>
        <w:contextualSpacing/>
        <w:jc w:val="both"/>
        <w:rPr>
          <w:rFonts w:eastAsia="Calibri" w:cs="Tahoma"/>
          <w:kern w:val="0"/>
          <w:lang w:val="de-DE" w:eastAsia="ar-SA" w:bidi="fa-IR"/>
        </w:rPr>
      </w:pPr>
      <w:r w:rsidRPr="00DB3FCB">
        <w:rPr>
          <w:rFonts w:eastAsiaTheme="minorHAnsi"/>
          <w:b/>
          <w:kern w:val="0"/>
          <w:lang w:eastAsia="en-US"/>
        </w:rPr>
        <w:t xml:space="preserve"> </w:t>
      </w:r>
      <w:r w:rsidR="00981097">
        <w:rPr>
          <w:rFonts w:eastAsiaTheme="minorHAnsi"/>
          <w:b/>
          <w:kern w:val="0"/>
          <w:lang w:eastAsia="en-US"/>
        </w:rPr>
        <w:t xml:space="preserve">kontrola </w:t>
      </w:r>
      <w:r w:rsidR="00981097" w:rsidRPr="00981097">
        <w:rPr>
          <w:rFonts w:eastAsiaTheme="minorHAnsi"/>
          <w:b/>
          <w:kern w:val="0"/>
          <w:lang w:eastAsia="en-US"/>
        </w:rPr>
        <w:t xml:space="preserve"> evidenci</w:t>
      </w:r>
      <w:r w:rsidR="00981097">
        <w:rPr>
          <w:rFonts w:eastAsiaTheme="minorHAnsi"/>
          <w:b/>
          <w:kern w:val="0"/>
          <w:lang w:eastAsia="en-US"/>
        </w:rPr>
        <w:t>e</w:t>
      </w:r>
      <w:r w:rsidR="00981097" w:rsidRPr="00981097">
        <w:rPr>
          <w:rFonts w:eastAsiaTheme="minorHAnsi"/>
          <w:b/>
          <w:kern w:val="0"/>
          <w:lang w:eastAsia="en-US"/>
        </w:rPr>
        <w:t xml:space="preserve"> a</w:t>
      </w:r>
      <w:r w:rsidR="00981097">
        <w:rPr>
          <w:rFonts w:eastAsiaTheme="minorHAnsi"/>
          <w:b/>
          <w:kern w:val="0"/>
          <w:lang w:eastAsia="en-US"/>
        </w:rPr>
        <w:t xml:space="preserve"> správnosti </w:t>
      </w:r>
      <w:r w:rsidR="00981097" w:rsidRPr="00981097">
        <w:rPr>
          <w:rFonts w:eastAsiaTheme="minorHAnsi"/>
          <w:b/>
          <w:kern w:val="0"/>
          <w:lang w:eastAsia="en-US"/>
        </w:rPr>
        <w:t>predpis</w:t>
      </w:r>
      <w:r w:rsidR="00981097">
        <w:rPr>
          <w:rFonts w:eastAsiaTheme="minorHAnsi"/>
          <w:b/>
          <w:kern w:val="0"/>
          <w:lang w:eastAsia="en-US"/>
        </w:rPr>
        <w:t>u</w:t>
      </w:r>
      <w:r w:rsidR="00981097" w:rsidRPr="00981097">
        <w:rPr>
          <w:rFonts w:eastAsiaTheme="minorHAnsi"/>
          <w:b/>
          <w:kern w:val="0"/>
          <w:lang w:eastAsia="en-US"/>
        </w:rPr>
        <w:t xml:space="preserve"> zvýšeného nájomného v mestských bytoch</w:t>
      </w:r>
    </w:p>
    <w:p w14:paraId="360EEAF2" w14:textId="77777777" w:rsidR="00981097" w:rsidRPr="00981097" w:rsidRDefault="00981097" w:rsidP="00981097">
      <w:pPr>
        <w:widowControl/>
        <w:suppressAutoHyphens w:val="0"/>
        <w:autoSpaceDN w:val="0"/>
        <w:spacing w:before="240" w:after="160" w:line="259" w:lineRule="auto"/>
        <w:ind w:left="720"/>
        <w:contextualSpacing/>
        <w:jc w:val="both"/>
        <w:rPr>
          <w:rFonts w:eastAsia="Calibri" w:cs="Tahoma"/>
          <w:kern w:val="0"/>
          <w:lang w:val="de-DE" w:eastAsia="ar-SA" w:bidi="fa-IR"/>
        </w:rPr>
      </w:pPr>
    </w:p>
    <w:p w14:paraId="1AACB2EA" w14:textId="53BB5876" w:rsidR="00981097" w:rsidRDefault="00981097" w:rsidP="00981097">
      <w:pPr>
        <w:widowControl/>
        <w:suppressAutoHyphens w:val="0"/>
        <w:autoSpaceDN w:val="0"/>
        <w:spacing w:before="240" w:after="160" w:line="259" w:lineRule="auto"/>
        <w:contextualSpacing/>
        <w:jc w:val="both"/>
        <w:rPr>
          <w:rFonts w:eastAsia="Calibri" w:cs="Tahoma"/>
          <w:kern w:val="0"/>
          <w:lang w:val="de-DE" w:eastAsia="ar-SA" w:bidi="fa-IR"/>
        </w:rPr>
      </w:pPr>
      <w:r w:rsidRPr="00981097">
        <w:rPr>
          <w:rFonts w:eastAsia="Andale Sans UI" w:cs="Tahoma"/>
          <w:kern w:val="3"/>
          <w:lang w:eastAsia="ja-JP" w:bidi="fa-IR"/>
        </w:rPr>
        <w:t xml:space="preserve">  Mestské  zastupiteľstvo prijalo na svojom zasadnutí dňa 7. 3. 2024 uznesenie č. 27/2024, ktorým určuje </w:t>
      </w:r>
      <w:r w:rsidRPr="00981097">
        <w:rPr>
          <w:rFonts w:eastAsia="Calibri" w:cs="Tahoma"/>
          <w:kern w:val="0"/>
          <w:lang w:val="de-DE" w:eastAsia="ar-SA" w:bidi="fa-IR"/>
        </w:rPr>
        <w:t xml:space="preserve">výšku mesačného nájomného za byty vo vlastníctve mesta Spišská Belá v bytových domoch postavených s podporou štátu podľa prílohy č. 1 s účinnosťou od 01.07.2024. </w:t>
      </w:r>
    </w:p>
    <w:p w14:paraId="346E5FEB" w14:textId="096278CB" w:rsidR="00981097" w:rsidRDefault="00981097" w:rsidP="00981097">
      <w:pPr>
        <w:widowControl/>
        <w:suppressAutoHyphens w:val="0"/>
        <w:autoSpaceDN w:val="0"/>
        <w:spacing w:before="240" w:after="160" w:line="259" w:lineRule="auto"/>
        <w:ind w:left="720"/>
        <w:contextualSpacing/>
        <w:jc w:val="both"/>
        <w:rPr>
          <w:rFonts w:eastAsia="Calibri" w:cs="Tahoma"/>
          <w:kern w:val="0"/>
          <w:lang w:val="de-DE" w:eastAsia="ar-SA" w:bidi="fa-IR"/>
        </w:rPr>
      </w:pPr>
    </w:p>
    <w:p w14:paraId="657F36E4" w14:textId="77777777" w:rsidR="00981097" w:rsidRPr="00981097" w:rsidRDefault="00981097" w:rsidP="00981097">
      <w:pPr>
        <w:widowControl/>
        <w:tabs>
          <w:tab w:val="left" w:pos="1815"/>
          <w:tab w:val="left" w:pos="6799"/>
        </w:tabs>
        <w:suppressAutoHyphens w:val="0"/>
        <w:spacing w:after="160" w:line="256" w:lineRule="auto"/>
        <w:jc w:val="both"/>
        <w:rPr>
          <w:rFonts w:eastAsiaTheme="minorHAnsi"/>
          <w:kern w:val="0"/>
          <w:lang w:eastAsia="en-US"/>
        </w:rPr>
      </w:pPr>
      <w:r w:rsidRPr="00981097">
        <w:rPr>
          <w:rFonts w:eastAsiaTheme="minorHAnsi"/>
          <w:kern w:val="0"/>
          <w:lang w:eastAsia="en-US"/>
        </w:rPr>
        <w:t>Týmto uznesením bolo navýšené nájomné za mestské byty v bytových domoch postavených s podporou štátu v súlade s Opatrením MF SR č. 01/R/2008 o regulácii cien nájmu bytov v znení Opatrenia MF SR č. 02/R/2008 a Opatrenia č. 01/R/2011 na 5 % z obstarávacej ceny týchto bytov.</w:t>
      </w:r>
    </w:p>
    <w:p w14:paraId="5C69BE50" w14:textId="77777777" w:rsidR="00981097" w:rsidRPr="00981097" w:rsidRDefault="00981097" w:rsidP="00981097">
      <w:pPr>
        <w:widowControl/>
        <w:tabs>
          <w:tab w:val="left" w:pos="1815"/>
          <w:tab w:val="left" w:pos="6799"/>
        </w:tabs>
        <w:suppressAutoHyphens w:val="0"/>
        <w:spacing w:after="160" w:line="256" w:lineRule="auto"/>
        <w:jc w:val="both"/>
        <w:rPr>
          <w:rFonts w:eastAsiaTheme="minorHAnsi"/>
          <w:kern w:val="0"/>
          <w:lang w:eastAsia="en-US"/>
        </w:rPr>
      </w:pPr>
      <w:r w:rsidRPr="00981097">
        <w:rPr>
          <w:rFonts w:asciiTheme="minorHAnsi" w:eastAsiaTheme="minorHAnsi" w:hAnsiTheme="minorHAnsi" w:cstheme="minorBidi"/>
          <w:kern w:val="0"/>
          <w:sz w:val="22"/>
          <w:szCs w:val="22"/>
          <w:lang w:eastAsia="en-US"/>
        </w:rPr>
        <w:t xml:space="preserve">    </w:t>
      </w:r>
      <w:r w:rsidRPr="00981097">
        <w:rPr>
          <w:rFonts w:eastAsiaTheme="minorHAnsi"/>
          <w:kern w:val="0"/>
          <w:lang w:eastAsia="en-US"/>
        </w:rPr>
        <w:t>Mesto doručilo nájomníkom Oznámenie  o zvýšení nájomného v mestských nájomných bytoch, ktorého súčasťou bol Predpis nájomného a mesačných záloh za poskytované služby spojené s nájmom platný od 1. 7. 2024.</w:t>
      </w:r>
    </w:p>
    <w:p w14:paraId="5FB6FC12" w14:textId="77777777" w:rsidR="00981097" w:rsidRPr="00981097" w:rsidRDefault="00981097" w:rsidP="00981097">
      <w:pPr>
        <w:widowControl/>
        <w:tabs>
          <w:tab w:val="left" w:pos="1815"/>
          <w:tab w:val="left" w:pos="6799"/>
        </w:tabs>
        <w:suppressAutoHyphens w:val="0"/>
        <w:spacing w:after="160" w:line="256" w:lineRule="auto"/>
        <w:jc w:val="both"/>
        <w:rPr>
          <w:rFonts w:eastAsiaTheme="minorHAnsi"/>
          <w:kern w:val="0"/>
          <w:lang w:eastAsia="en-US"/>
        </w:rPr>
      </w:pPr>
      <w:r w:rsidRPr="00981097">
        <w:rPr>
          <w:rFonts w:asciiTheme="minorHAnsi" w:eastAsiaTheme="minorHAnsi" w:hAnsiTheme="minorHAnsi" w:cstheme="minorBidi"/>
          <w:kern w:val="0"/>
          <w:sz w:val="22"/>
          <w:szCs w:val="22"/>
          <w:lang w:eastAsia="en-US"/>
        </w:rPr>
        <w:t xml:space="preserve">     </w:t>
      </w:r>
      <w:r w:rsidRPr="00981097">
        <w:rPr>
          <w:rFonts w:eastAsiaTheme="minorHAnsi"/>
          <w:kern w:val="0"/>
          <w:lang w:eastAsia="en-US"/>
        </w:rPr>
        <w:t>Kontrola bola zameraná na správnosť predpisu nájomného na jednotlivé byty a na to, či nájomné bolo upravené pre každý byt. Kontrolou neboli zistené nedostatky. Oznámenia s predpismi boli doručené nájomníkom  všetky, do vlastných rúk, resp. poštou doporučene, v termíne do 31. 5. 2024.</w:t>
      </w:r>
    </w:p>
    <w:sectPr w:rsidR="00981097" w:rsidRPr="0098109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1E9C0" w14:textId="77777777" w:rsidR="00CD08F6" w:rsidRDefault="00CD08F6" w:rsidP="00981097">
      <w:r>
        <w:separator/>
      </w:r>
    </w:p>
  </w:endnote>
  <w:endnote w:type="continuationSeparator" w:id="0">
    <w:p w14:paraId="32A0447A" w14:textId="77777777" w:rsidR="00CD08F6" w:rsidRDefault="00CD08F6" w:rsidP="0098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651539"/>
      <w:docPartObj>
        <w:docPartGallery w:val="Page Numbers (Bottom of Page)"/>
        <w:docPartUnique/>
      </w:docPartObj>
    </w:sdtPr>
    <w:sdtEndPr/>
    <w:sdtContent>
      <w:p w14:paraId="0F3DE99E" w14:textId="60CA999B" w:rsidR="00981097" w:rsidRDefault="00981097">
        <w:pPr>
          <w:pStyle w:val="Pta"/>
          <w:jc w:val="center"/>
        </w:pPr>
        <w:r>
          <w:fldChar w:fldCharType="begin"/>
        </w:r>
        <w:r>
          <w:instrText>PAGE   \* MERGEFORMAT</w:instrText>
        </w:r>
        <w:r>
          <w:fldChar w:fldCharType="separate"/>
        </w:r>
        <w:r>
          <w:t>2</w:t>
        </w:r>
        <w:r>
          <w:fldChar w:fldCharType="end"/>
        </w:r>
      </w:p>
    </w:sdtContent>
  </w:sdt>
  <w:p w14:paraId="64FB10CE" w14:textId="77777777" w:rsidR="00981097" w:rsidRDefault="0098109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800FF" w14:textId="77777777" w:rsidR="00CD08F6" w:rsidRDefault="00CD08F6" w:rsidP="00981097">
      <w:r>
        <w:separator/>
      </w:r>
    </w:p>
  </w:footnote>
  <w:footnote w:type="continuationSeparator" w:id="0">
    <w:p w14:paraId="4F705C3B" w14:textId="77777777" w:rsidR="00CD08F6" w:rsidRDefault="00CD08F6" w:rsidP="00981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8A3"/>
    <w:multiLevelType w:val="hybridMultilevel"/>
    <w:tmpl w:val="649622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921914"/>
    <w:multiLevelType w:val="hybridMultilevel"/>
    <w:tmpl w:val="351CD2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10BB193D"/>
    <w:multiLevelType w:val="hybridMultilevel"/>
    <w:tmpl w:val="F656FF92"/>
    <w:lvl w:ilvl="0" w:tplc="AFBA051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BC71D9"/>
    <w:multiLevelType w:val="hybridMultilevel"/>
    <w:tmpl w:val="AA54CE52"/>
    <w:lvl w:ilvl="0" w:tplc="3868805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EB24817"/>
    <w:multiLevelType w:val="hybridMultilevel"/>
    <w:tmpl w:val="081C9B5E"/>
    <w:lvl w:ilvl="0" w:tplc="430EFD68">
      <w:start w:val="655"/>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704389E"/>
    <w:multiLevelType w:val="hybridMultilevel"/>
    <w:tmpl w:val="AF9472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2722BA4"/>
    <w:multiLevelType w:val="hybridMultilevel"/>
    <w:tmpl w:val="D0C6C3EE"/>
    <w:lvl w:ilvl="0" w:tplc="5F8E385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87F"/>
    <w:rsid w:val="00343329"/>
    <w:rsid w:val="00443992"/>
    <w:rsid w:val="005C66D5"/>
    <w:rsid w:val="006633A8"/>
    <w:rsid w:val="00784F5F"/>
    <w:rsid w:val="00981097"/>
    <w:rsid w:val="00A24533"/>
    <w:rsid w:val="00CD08F6"/>
    <w:rsid w:val="00D60158"/>
    <w:rsid w:val="00E1487F"/>
    <w:rsid w:val="00F05D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24BBE"/>
  <w15:chartTrackingRefBased/>
  <w15:docId w15:val="{03B1BB58-A0AB-42E0-BE2B-A3A340CC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84F5F"/>
    <w:pPr>
      <w:widowControl w:val="0"/>
      <w:suppressAutoHyphens/>
      <w:spacing w:after="0" w:line="240" w:lineRule="auto"/>
    </w:pPr>
    <w:rPr>
      <w:rFonts w:ascii="Times New Roman" w:eastAsia="Lucida Sans Unicode" w:hAnsi="Times New Roman" w:cs="Times New Roman"/>
      <w:kern w:val="2"/>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78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84F5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Hlavika">
    <w:name w:val="header"/>
    <w:basedOn w:val="Normlny"/>
    <w:link w:val="HlavikaChar"/>
    <w:uiPriority w:val="99"/>
    <w:unhideWhenUsed/>
    <w:rsid w:val="00981097"/>
    <w:pPr>
      <w:tabs>
        <w:tab w:val="center" w:pos="4536"/>
        <w:tab w:val="right" w:pos="9072"/>
      </w:tabs>
    </w:pPr>
  </w:style>
  <w:style w:type="character" w:customStyle="1" w:styleId="HlavikaChar">
    <w:name w:val="Hlavička Char"/>
    <w:basedOn w:val="Predvolenpsmoodseku"/>
    <w:link w:val="Hlavika"/>
    <w:uiPriority w:val="99"/>
    <w:rsid w:val="00981097"/>
    <w:rPr>
      <w:rFonts w:ascii="Times New Roman" w:eastAsia="Lucida Sans Unicode" w:hAnsi="Times New Roman" w:cs="Times New Roman"/>
      <w:kern w:val="2"/>
      <w:sz w:val="24"/>
      <w:szCs w:val="24"/>
      <w:lang w:eastAsia="sk-SK"/>
    </w:rPr>
  </w:style>
  <w:style w:type="paragraph" w:styleId="Pta">
    <w:name w:val="footer"/>
    <w:basedOn w:val="Normlny"/>
    <w:link w:val="PtaChar"/>
    <w:uiPriority w:val="99"/>
    <w:unhideWhenUsed/>
    <w:rsid w:val="00981097"/>
    <w:pPr>
      <w:tabs>
        <w:tab w:val="center" w:pos="4536"/>
        <w:tab w:val="right" w:pos="9072"/>
      </w:tabs>
    </w:pPr>
  </w:style>
  <w:style w:type="character" w:customStyle="1" w:styleId="PtaChar">
    <w:name w:val="Päta Char"/>
    <w:basedOn w:val="Predvolenpsmoodseku"/>
    <w:link w:val="Pta"/>
    <w:uiPriority w:val="99"/>
    <w:rsid w:val="00981097"/>
    <w:rPr>
      <w:rFonts w:ascii="Times New Roman" w:eastAsia="Lucida Sans Unicode" w:hAnsi="Times New Roman" w:cs="Times New Roman"/>
      <w:kern w:val="2"/>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8651</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TOMALOVÁ Slávka</dc:creator>
  <cp:keywords/>
  <dc:description/>
  <cp:lastModifiedBy>TOMALOVÁ Slávka</cp:lastModifiedBy>
  <cp:revision>2</cp:revision>
  <dcterms:created xsi:type="dcterms:W3CDTF">2024-06-14T09:04:00Z</dcterms:created>
  <dcterms:modified xsi:type="dcterms:W3CDTF">2024-06-14T09:04:00Z</dcterms:modified>
</cp:coreProperties>
</file>