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66" w:rsidRPr="00425766" w:rsidRDefault="00425766" w:rsidP="00425766">
      <w:pPr>
        <w:widowControl/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  <w:r w:rsidRPr="00425766">
        <w:rPr>
          <w:rFonts w:eastAsia="Times New Roman"/>
          <w:b/>
          <w:noProof/>
          <w:kern w:val="0"/>
        </w:rPr>
        <w:drawing>
          <wp:inline distT="0" distB="0" distL="0" distR="0" wp14:anchorId="49782E30" wp14:editId="2290BAD6">
            <wp:extent cx="676910" cy="810895"/>
            <wp:effectExtent l="0" t="0" r="8890" b="825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5766" w:rsidRPr="00425766" w:rsidRDefault="00425766" w:rsidP="00425766">
      <w:pPr>
        <w:widowControl/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</w:p>
    <w:p w:rsidR="00425766" w:rsidRPr="00425766" w:rsidRDefault="00425766" w:rsidP="00425766">
      <w:pPr>
        <w:widowControl/>
        <w:tabs>
          <w:tab w:val="left" w:pos="1815"/>
          <w:tab w:val="left" w:pos="6799"/>
        </w:tabs>
        <w:jc w:val="center"/>
        <w:rPr>
          <w:rFonts w:eastAsia="Times New Roman"/>
          <w:kern w:val="0"/>
          <w:lang w:eastAsia="ar-SA"/>
        </w:rPr>
      </w:pPr>
      <w:r w:rsidRPr="00425766">
        <w:rPr>
          <w:rFonts w:eastAsia="Times New Roman"/>
          <w:b/>
          <w:kern w:val="0"/>
          <w:lang w:eastAsia="ar-SA"/>
        </w:rPr>
        <w:t xml:space="preserve">Materiál  predkladaný na zasadnutie  </w:t>
      </w:r>
    </w:p>
    <w:p w:rsidR="00425766" w:rsidRPr="00425766" w:rsidRDefault="00425766" w:rsidP="00425766">
      <w:pPr>
        <w:widowControl/>
        <w:pBdr>
          <w:bottom w:val="single" w:sz="8" w:space="1" w:color="000000"/>
        </w:pBdr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  <w:r w:rsidRPr="00425766">
        <w:rPr>
          <w:rFonts w:eastAsia="Times New Roman"/>
          <w:b/>
          <w:kern w:val="0"/>
          <w:lang w:eastAsia="ar-SA"/>
        </w:rPr>
        <w:t>Mestského zastupiteľstva v Spišskej Belej</w:t>
      </w:r>
    </w:p>
    <w:p w:rsidR="00425766" w:rsidRPr="00425766" w:rsidRDefault="00425766" w:rsidP="00425766">
      <w:pPr>
        <w:widowControl/>
        <w:pBdr>
          <w:bottom w:val="single" w:sz="8" w:space="1" w:color="000000"/>
        </w:pBdr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  <w:r w:rsidRPr="00425766">
        <w:rPr>
          <w:rFonts w:eastAsia="Times New Roman"/>
          <w:b/>
          <w:kern w:val="0"/>
          <w:lang w:eastAsia="ar-SA"/>
        </w:rPr>
        <w:t xml:space="preserve">dňa </w:t>
      </w:r>
      <w:r>
        <w:rPr>
          <w:rFonts w:eastAsia="Times New Roman"/>
          <w:b/>
          <w:kern w:val="0"/>
          <w:lang w:eastAsia="ar-SA"/>
        </w:rPr>
        <w:t xml:space="preserve">27. </w:t>
      </w:r>
      <w:r w:rsidRPr="00425766">
        <w:rPr>
          <w:rFonts w:eastAsia="Times New Roman"/>
          <w:b/>
          <w:kern w:val="0"/>
          <w:lang w:eastAsia="ar-SA"/>
        </w:rPr>
        <w:t xml:space="preserve"> </w:t>
      </w:r>
      <w:r>
        <w:rPr>
          <w:rFonts w:eastAsia="Times New Roman"/>
          <w:b/>
          <w:kern w:val="0"/>
          <w:lang w:eastAsia="ar-SA"/>
        </w:rPr>
        <w:t>januára</w:t>
      </w:r>
      <w:r w:rsidRPr="00425766">
        <w:rPr>
          <w:rFonts w:eastAsia="Times New Roman"/>
          <w:b/>
          <w:kern w:val="0"/>
          <w:lang w:eastAsia="ar-SA"/>
        </w:rPr>
        <w:t xml:space="preserve"> 202</w:t>
      </w:r>
      <w:r>
        <w:rPr>
          <w:rFonts w:eastAsia="Times New Roman"/>
          <w:b/>
          <w:kern w:val="0"/>
          <w:lang w:eastAsia="ar-SA"/>
        </w:rPr>
        <w:t>2</w:t>
      </w:r>
    </w:p>
    <w:p w:rsidR="00425766" w:rsidRPr="00425766" w:rsidRDefault="00425766" w:rsidP="00425766">
      <w:pPr>
        <w:widowControl/>
        <w:pBdr>
          <w:bottom w:val="single" w:sz="8" w:space="1" w:color="000000"/>
        </w:pBdr>
        <w:tabs>
          <w:tab w:val="left" w:pos="1815"/>
          <w:tab w:val="left" w:pos="6799"/>
        </w:tabs>
        <w:jc w:val="center"/>
        <w:rPr>
          <w:rFonts w:eastAsia="Times New Roman"/>
          <w:b/>
          <w:kern w:val="0"/>
          <w:lang w:eastAsia="ar-SA"/>
        </w:rPr>
      </w:pPr>
      <w:r w:rsidRPr="00425766">
        <w:rPr>
          <w:rFonts w:eastAsia="Times New Roman"/>
          <w:b/>
          <w:kern w:val="0"/>
          <w:lang w:eastAsia="ar-SA"/>
        </w:rPr>
        <w:t>___________________________________________________________________________</w:t>
      </w:r>
    </w:p>
    <w:p w:rsidR="00425766" w:rsidRPr="00425766" w:rsidRDefault="00425766" w:rsidP="00425766">
      <w:pPr>
        <w:widowControl/>
        <w:pBdr>
          <w:bottom w:val="single" w:sz="8" w:space="1" w:color="000000"/>
        </w:pBdr>
        <w:tabs>
          <w:tab w:val="left" w:pos="1815"/>
          <w:tab w:val="left" w:pos="6799"/>
        </w:tabs>
        <w:jc w:val="both"/>
        <w:rPr>
          <w:rFonts w:eastAsia="Times New Roman"/>
          <w:b/>
          <w:kern w:val="0"/>
          <w:lang w:eastAsia="ar-SA"/>
        </w:rPr>
      </w:pPr>
    </w:p>
    <w:tbl>
      <w:tblPr>
        <w:tblStyle w:val="Mriekatabuky"/>
        <w:tblW w:w="4994" w:type="pct"/>
        <w:tblInd w:w="-5" w:type="dxa"/>
        <w:tblLook w:val="04A0" w:firstRow="1" w:lastRow="0" w:firstColumn="1" w:lastColumn="0" w:noHBand="0" w:noVBand="1"/>
      </w:tblPr>
      <w:tblGrid>
        <w:gridCol w:w="3119"/>
        <w:gridCol w:w="5932"/>
      </w:tblGrid>
      <w:tr w:rsidR="00425766" w:rsidRPr="00425766" w:rsidTr="00075B53">
        <w:tc>
          <w:tcPr>
            <w:tcW w:w="1723" w:type="pct"/>
          </w:tcPr>
          <w:p w:rsidR="00425766" w:rsidRPr="00425766" w:rsidRDefault="00425766" w:rsidP="00425766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Názov materiálu:</w:t>
            </w:r>
          </w:p>
        </w:tc>
        <w:tc>
          <w:tcPr>
            <w:tcW w:w="3277" w:type="pct"/>
          </w:tcPr>
          <w:p w:rsidR="00425766" w:rsidRPr="00425766" w:rsidRDefault="00425766" w:rsidP="00425766">
            <w:pPr>
              <w:widowControl/>
              <w:tabs>
                <w:tab w:val="left" w:pos="495"/>
              </w:tabs>
              <w:suppressAutoHyphens w:val="0"/>
              <w:spacing w:line="256" w:lineRule="auto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Správa o</w:t>
            </w:r>
            <w:r>
              <w:rPr>
                <w:rFonts w:eastAsia="Calibri"/>
                <w:b/>
                <w:kern w:val="0"/>
                <w:lang w:eastAsia="en-US"/>
              </w:rPr>
              <w:t xml:space="preserve"> kontrolnej činnosti </w:t>
            </w:r>
            <w:r w:rsidR="004D2E53">
              <w:rPr>
                <w:rFonts w:eastAsia="Calibri"/>
                <w:b/>
                <w:kern w:val="0"/>
                <w:lang w:eastAsia="en-US"/>
              </w:rPr>
              <w:t xml:space="preserve">hlavnej kontrolórky </w:t>
            </w:r>
            <w:r>
              <w:rPr>
                <w:rFonts w:eastAsia="Calibri"/>
                <w:b/>
                <w:kern w:val="0"/>
                <w:lang w:eastAsia="en-US"/>
              </w:rPr>
              <w:t>v roku 2021</w:t>
            </w:r>
          </w:p>
        </w:tc>
      </w:tr>
      <w:tr w:rsidR="00425766" w:rsidRPr="00425766" w:rsidTr="00075B53">
        <w:tc>
          <w:tcPr>
            <w:tcW w:w="1723" w:type="pct"/>
          </w:tcPr>
          <w:p w:rsidR="00425766" w:rsidRPr="00425766" w:rsidRDefault="00425766" w:rsidP="00425766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Obsah materiálu: </w:t>
            </w:r>
          </w:p>
        </w:tc>
        <w:tc>
          <w:tcPr>
            <w:tcW w:w="3277" w:type="pct"/>
          </w:tcPr>
          <w:p w:rsidR="00425766" w:rsidRPr="00425766" w:rsidRDefault="00425766" w:rsidP="00425766">
            <w:pPr>
              <w:widowControl/>
              <w:numPr>
                <w:ilvl w:val="0"/>
                <w:numId w:val="3"/>
              </w:numPr>
              <w:suppressAutoHyphens w:val="0"/>
              <w:spacing w:line="25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 xml:space="preserve">Návrh na uznesenie </w:t>
            </w:r>
          </w:p>
          <w:p w:rsidR="00425766" w:rsidRPr="00425766" w:rsidRDefault="00425766" w:rsidP="00425766">
            <w:pPr>
              <w:widowControl/>
              <w:numPr>
                <w:ilvl w:val="0"/>
                <w:numId w:val="3"/>
              </w:numPr>
              <w:suppressAutoHyphens w:val="0"/>
              <w:spacing w:line="25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Dôvodová správa</w:t>
            </w:r>
          </w:p>
          <w:p w:rsidR="00425766" w:rsidRPr="00425766" w:rsidRDefault="00425766" w:rsidP="00425766">
            <w:pPr>
              <w:widowControl/>
              <w:numPr>
                <w:ilvl w:val="0"/>
                <w:numId w:val="3"/>
              </w:numPr>
              <w:suppressAutoHyphens w:val="0"/>
              <w:spacing w:line="256" w:lineRule="auto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Správy z vykonaných kontrol</w:t>
            </w:r>
          </w:p>
          <w:p w:rsidR="00425766" w:rsidRPr="00425766" w:rsidRDefault="00425766" w:rsidP="00425766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</w:p>
        </w:tc>
      </w:tr>
      <w:tr w:rsidR="00425766" w:rsidRPr="00425766" w:rsidTr="00075B53">
        <w:tc>
          <w:tcPr>
            <w:tcW w:w="1723" w:type="pct"/>
          </w:tcPr>
          <w:p w:rsidR="00425766" w:rsidRPr="00425766" w:rsidRDefault="00425766" w:rsidP="00425766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Návrh na uznesenie: </w:t>
            </w:r>
          </w:p>
        </w:tc>
        <w:tc>
          <w:tcPr>
            <w:tcW w:w="3277" w:type="pct"/>
          </w:tcPr>
          <w:p w:rsidR="00425766" w:rsidRPr="00425766" w:rsidRDefault="00425766" w:rsidP="00425766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Uznesenie č. ........./202</w:t>
            </w:r>
            <w:r>
              <w:rPr>
                <w:rFonts w:eastAsia="Calibri"/>
                <w:b/>
                <w:kern w:val="0"/>
                <w:lang w:eastAsia="en-US"/>
              </w:rPr>
              <w:t>2</w:t>
            </w:r>
          </w:p>
          <w:p w:rsidR="00425766" w:rsidRPr="00425766" w:rsidRDefault="00425766" w:rsidP="00C875D6">
            <w:pPr>
              <w:widowControl/>
              <w:suppressAutoHyphens w:val="0"/>
              <w:autoSpaceDE w:val="0"/>
              <w:autoSpaceDN w:val="0"/>
              <w:adjustRightInd w:val="0"/>
              <w:spacing w:line="259" w:lineRule="auto"/>
              <w:rPr>
                <w:rFonts w:eastAsiaTheme="minorHAns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Mestské   zastupiteľstvo   v    Spišskej   Belej</w:t>
            </w:r>
            <w:r w:rsidRPr="00425766">
              <w:rPr>
                <w:rFonts w:eastAsiaTheme="minorHAnsi"/>
                <w:kern w:val="0"/>
                <w:lang w:eastAsia="en-US"/>
              </w:rPr>
              <w:t xml:space="preserve">  berie na vedo</w:t>
            </w:r>
            <w:r>
              <w:rPr>
                <w:rFonts w:eastAsiaTheme="minorHAnsi"/>
                <w:kern w:val="0"/>
                <w:lang w:eastAsia="en-US"/>
              </w:rPr>
              <w:t>mie správu o kontrolnej činnosti hlavnej kontrolórk</w:t>
            </w:r>
            <w:r w:rsidR="00C875D6">
              <w:rPr>
                <w:rFonts w:eastAsiaTheme="minorHAnsi"/>
                <w:kern w:val="0"/>
                <w:lang w:eastAsia="en-US"/>
              </w:rPr>
              <w:t>y</w:t>
            </w:r>
            <w:r>
              <w:rPr>
                <w:rFonts w:eastAsiaTheme="minorHAnsi"/>
                <w:kern w:val="0"/>
                <w:lang w:eastAsia="en-US"/>
              </w:rPr>
              <w:t xml:space="preserve"> za rok 2021</w:t>
            </w:r>
          </w:p>
        </w:tc>
      </w:tr>
      <w:tr w:rsidR="00425766" w:rsidRPr="00425766" w:rsidTr="00075B53">
        <w:tc>
          <w:tcPr>
            <w:tcW w:w="1723" w:type="pct"/>
          </w:tcPr>
          <w:p w:rsidR="00425766" w:rsidRPr="00425766" w:rsidRDefault="00425766" w:rsidP="00425766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Stanovisko komisie: </w:t>
            </w:r>
          </w:p>
        </w:tc>
        <w:tc>
          <w:tcPr>
            <w:tcW w:w="3277" w:type="pct"/>
          </w:tcPr>
          <w:p w:rsidR="00425766" w:rsidRPr="00425766" w:rsidRDefault="00425766" w:rsidP="00425766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-</w:t>
            </w:r>
          </w:p>
        </w:tc>
      </w:tr>
      <w:tr w:rsidR="00425766" w:rsidRPr="00425766" w:rsidTr="00075B53">
        <w:tc>
          <w:tcPr>
            <w:tcW w:w="1723" w:type="pct"/>
          </w:tcPr>
          <w:p w:rsidR="00425766" w:rsidRPr="00425766" w:rsidRDefault="00425766" w:rsidP="00425766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Spracovateľ materiálu: </w:t>
            </w:r>
          </w:p>
        </w:tc>
        <w:tc>
          <w:tcPr>
            <w:tcW w:w="3277" w:type="pct"/>
          </w:tcPr>
          <w:p w:rsidR="00425766" w:rsidRPr="00425766" w:rsidRDefault="00425766" w:rsidP="00425766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Ing. Tomalová – hlavná kontrolórka</w:t>
            </w:r>
          </w:p>
        </w:tc>
      </w:tr>
      <w:tr w:rsidR="00425766" w:rsidRPr="00425766" w:rsidTr="00075B53">
        <w:tc>
          <w:tcPr>
            <w:tcW w:w="1723" w:type="pct"/>
          </w:tcPr>
          <w:p w:rsidR="00425766" w:rsidRPr="00425766" w:rsidRDefault="00425766" w:rsidP="00425766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Materiál predkladá: </w:t>
            </w:r>
          </w:p>
        </w:tc>
        <w:tc>
          <w:tcPr>
            <w:tcW w:w="3277" w:type="pct"/>
          </w:tcPr>
          <w:p w:rsidR="00425766" w:rsidRPr="00425766" w:rsidRDefault="00425766" w:rsidP="009A036E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Ing. Tomalová – hlavná kontrolórka</w:t>
            </w:r>
          </w:p>
        </w:tc>
      </w:tr>
      <w:tr w:rsidR="00425766" w:rsidRPr="00425766" w:rsidTr="00075B53">
        <w:tc>
          <w:tcPr>
            <w:tcW w:w="1723" w:type="pct"/>
          </w:tcPr>
          <w:p w:rsidR="00425766" w:rsidRPr="00425766" w:rsidRDefault="00425766" w:rsidP="00425766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K bodu programu: </w:t>
            </w:r>
          </w:p>
        </w:tc>
        <w:tc>
          <w:tcPr>
            <w:tcW w:w="3277" w:type="pct"/>
          </w:tcPr>
          <w:p w:rsidR="00425766" w:rsidRPr="00425766" w:rsidRDefault="00D458D4" w:rsidP="00425766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20</w:t>
            </w:r>
          </w:p>
        </w:tc>
      </w:tr>
      <w:tr w:rsidR="00425766" w:rsidRPr="00425766" w:rsidTr="00075B53">
        <w:tc>
          <w:tcPr>
            <w:tcW w:w="1723" w:type="pct"/>
          </w:tcPr>
          <w:p w:rsidR="00425766" w:rsidRPr="00425766" w:rsidRDefault="00425766" w:rsidP="00425766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Počet strán:</w:t>
            </w:r>
          </w:p>
        </w:tc>
        <w:tc>
          <w:tcPr>
            <w:tcW w:w="3277" w:type="pct"/>
          </w:tcPr>
          <w:p w:rsidR="00425766" w:rsidRPr="00425766" w:rsidRDefault="00425766" w:rsidP="00425766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 xml:space="preserve"> </w:t>
            </w:r>
            <w:r w:rsidR="004D2E53">
              <w:rPr>
                <w:rFonts w:eastAsia="Calibri"/>
                <w:kern w:val="0"/>
                <w:lang w:eastAsia="en-US"/>
              </w:rPr>
              <w:t>4</w:t>
            </w:r>
          </w:p>
        </w:tc>
      </w:tr>
      <w:tr w:rsidR="00425766" w:rsidRPr="00425766" w:rsidTr="00075B53">
        <w:tc>
          <w:tcPr>
            <w:tcW w:w="1723" w:type="pct"/>
          </w:tcPr>
          <w:p w:rsidR="00425766" w:rsidRPr="00425766" w:rsidRDefault="00425766" w:rsidP="00425766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Prílohy:</w:t>
            </w:r>
          </w:p>
        </w:tc>
        <w:tc>
          <w:tcPr>
            <w:tcW w:w="3277" w:type="pct"/>
            <w:tcBorders>
              <w:bottom w:val="single" w:sz="4" w:space="0" w:color="auto"/>
            </w:tcBorders>
          </w:tcPr>
          <w:p w:rsidR="00425766" w:rsidRPr="00425766" w:rsidRDefault="00425766" w:rsidP="00425766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eastAsia="en-US"/>
              </w:rPr>
              <w:t>Správa</w:t>
            </w:r>
          </w:p>
        </w:tc>
      </w:tr>
      <w:tr w:rsidR="00425766" w:rsidRPr="00425766" w:rsidTr="00075B53">
        <w:tc>
          <w:tcPr>
            <w:tcW w:w="1723" w:type="pct"/>
            <w:tcBorders>
              <w:bottom w:val="single" w:sz="4" w:space="0" w:color="auto"/>
              <w:right w:val="nil"/>
            </w:tcBorders>
          </w:tcPr>
          <w:p w:rsidR="00425766" w:rsidRPr="00425766" w:rsidRDefault="00425766" w:rsidP="00425766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 xml:space="preserve">Dôvodová správa:  </w:t>
            </w:r>
          </w:p>
          <w:p w:rsidR="00425766" w:rsidRPr="00425766" w:rsidRDefault="00425766" w:rsidP="00425766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425766" w:rsidRPr="00425766" w:rsidRDefault="00425766" w:rsidP="00425766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425766" w:rsidRPr="00425766" w:rsidRDefault="00425766" w:rsidP="00425766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425766" w:rsidRPr="00425766" w:rsidRDefault="00425766" w:rsidP="00425766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425766" w:rsidRPr="00425766" w:rsidRDefault="00425766" w:rsidP="00425766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425766" w:rsidRPr="00425766" w:rsidRDefault="00425766" w:rsidP="00425766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425766" w:rsidRPr="00425766" w:rsidRDefault="00425766" w:rsidP="00425766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425766" w:rsidRPr="00425766" w:rsidRDefault="00425766" w:rsidP="00425766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425766" w:rsidRPr="00425766" w:rsidRDefault="00425766" w:rsidP="00425766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425766" w:rsidRPr="00425766" w:rsidRDefault="00425766" w:rsidP="00425766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425766" w:rsidRPr="00425766" w:rsidRDefault="00425766" w:rsidP="00425766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  <w:p w:rsidR="00425766" w:rsidRPr="00425766" w:rsidRDefault="00425766" w:rsidP="00425766">
            <w:pPr>
              <w:widowControl/>
              <w:suppressAutoHyphens w:val="0"/>
              <w:jc w:val="both"/>
              <w:rPr>
                <w:rFonts w:eastAsia="Calibri"/>
                <w:b/>
                <w:kern w:val="0"/>
                <w:lang w:eastAsia="en-US"/>
              </w:rPr>
            </w:pPr>
          </w:p>
        </w:tc>
        <w:tc>
          <w:tcPr>
            <w:tcW w:w="3277" w:type="pct"/>
            <w:tcBorders>
              <w:left w:val="nil"/>
              <w:bottom w:val="single" w:sz="4" w:space="0" w:color="auto"/>
            </w:tcBorders>
          </w:tcPr>
          <w:p w:rsidR="00425766" w:rsidRDefault="00FD1857" w:rsidP="00425766">
            <w:pPr>
              <w:tabs>
                <w:tab w:val="left" w:pos="495"/>
              </w:tabs>
              <w:autoSpaceDN w:val="0"/>
              <w:jc w:val="both"/>
            </w:pPr>
            <w:r>
              <w:t xml:space="preserve">      </w:t>
            </w:r>
            <w:r w:rsidR="00425766">
              <w:t xml:space="preserve">V zmysle ustanovenia § 18f ods. 1 písm. e) zákona č. 369/1990 Zb. o obecnom zriadení v znení neskorších predpisov  je úlohou hlavného kontrolóra predložiť obecnému zastupiteľstvu najmenej raz ročne správu o kontrolnej činnosti, a to do 60 dní po uplynutí kalendárneho roku. </w:t>
            </w:r>
          </w:p>
          <w:p w:rsidR="00425766" w:rsidRPr="00425766" w:rsidRDefault="00425766" w:rsidP="009C5753">
            <w:pPr>
              <w:tabs>
                <w:tab w:val="left" w:pos="495"/>
              </w:tabs>
              <w:autoSpaceDN w:val="0"/>
              <w:jc w:val="both"/>
            </w:pPr>
            <w:r>
              <w:t xml:space="preserve">     Kontrolná činnosť bola vykonávaná v súlade s plánmi kontrolnej činnosti hlavnej kontrolórky mesta Spišská Belá na I. a II. polrok 2021, na základe uznesenia MsZ č. 102/2021 a na základe podnetov</w:t>
            </w:r>
            <w:r w:rsidR="009C5753">
              <w:t xml:space="preserve"> a poznatkov</w:t>
            </w:r>
            <w:r>
              <w:t xml:space="preserve"> zistených vlastnou činnosťou kontrolórky. Predkladaná správa o kontrolnej činnosti informuje o</w:t>
            </w:r>
            <w:r w:rsidR="009C5753">
              <w:t xml:space="preserve"> výsledkoch </w:t>
            </w:r>
            <w:r>
              <w:t>vykonaných kontrol,  ktoré boli riadne ukončené, prerokované s kontrolovaným subjektom a</w:t>
            </w:r>
            <w:r w:rsidR="009C5753">
              <w:t xml:space="preserve"> na rokovaní  mestského zastupiteľstva </w:t>
            </w:r>
            <w:r>
              <w:t>bola predložená správa o výsledk</w:t>
            </w:r>
            <w:r w:rsidR="009C5753">
              <w:t>och</w:t>
            </w:r>
            <w:r>
              <w:t xml:space="preserve"> kontrol. Súčasťou správy je aj informácia o plnení ostatných úloh a činnost</w:t>
            </w:r>
            <w:r w:rsidR="009C5753">
              <w:t>í</w:t>
            </w:r>
            <w:r>
              <w:t>, ktoré vyplývajú z rokovaní mestského zastupiteľstva alebo činnosti kontrolóra.</w:t>
            </w:r>
            <w:r w:rsidRPr="00425766">
              <w:rPr>
                <w:rFonts w:eastAsiaTheme="minorHAnsi"/>
                <w:kern w:val="0"/>
                <w:lang w:eastAsia="en-US"/>
              </w:rPr>
              <w:t xml:space="preserve"> </w:t>
            </w:r>
          </w:p>
        </w:tc>
      </w:tr>
      <w:tr w:rsidR="00425766" w:rsidRPr="00425766" w:rsidTr="00075B53">
        <w:tc>
          <w:tcPr>
            <w:tcW w:w="1723" w:type="pct"/>
            <w:tcBorders>
              <w:top w:val="single" w:sz="4" w:space="0" w:color="auto"/>
            </w:tcBorders>
          </w:tcPr>
          <w:p w:rsidR="00425766" w:rsidRPr="00425766" w:rsidRDefault="00425766" w:rsidP="00425766">
            <w:pPr>
              <w:widowControl/>
              <w:suppressAutoHyphens w:val="0"/>
              <w:rPr>
                <w:rFonts w:eastAsia="Calibri"/>
                <w:b/>
                <w:kern w:val="0"/>
                <w:lang w:eastAsia="en-US"/>
              </w:rPr>
            </w:pPr>
            <w:r w:rsidRPr="00425766">
              <w:rPr>
                <w:rFonts w:eastAsia="Calibri"/>
                <w:b/>
                <w:kern w:val="0"/>
                <w:lang w:eastAsia="en-US"/>
              </w:rPr>
              <w:t>Meno, priezvisko, funkcia  a podpis predkladateľa:</w:t>
            </w:r>
          </w:p>
        </w:tc>
        <w:tc>
          <w:tcPr>
            <w:tcW w:w="3277" w:type="pct"/>
            <w:tcBorders>
              <w:top w:val="single" w:sz="4" w:space="0" w:color="auto"/>
            </w:tcBorders>
          </w:tcPr>
          <w:p w:rsidR="00425766" w:rsidRPr="00425766" w:rsidRDefault="00425766" w:rsidP="00425766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>Ing. Slávka Tomalová – hlavná kontrolórka mesta Spišská Belá</w:t>
            </w:r>
          </w:p>
          <w:p w:rsidR="00425766" w:rsidRPr="00425766" w:rsidRDefault="00425766" w:rsidP="00425766">
            <w:pPr>
              <w:widowControl/>
              <w:suppressAutoHyphens w:val="0"/>
              <w:jc w:val="both"/>
              <w:rPr>
                <w:rFonts w:eastAsia="Calibri"/>
                <w:kern w:val="0"/>
                <w:lang w:eastAsia="en-US"/>
              </w:rPr>
            </w:pPr>
            <w:r w:rsidRPr="00425766">
              <w:rPr>
                <w:rFonts w:eastAsia="Calibri"/>
                <w:kern w:val="0"/>
                <w:lang w:eastAsia="en-US"/>
              </w:rPr>
              <w:t xml:space="preserve">                                                                 .......................................</w:t>
            </w:r>
          </w:p>
        </w:tc>
      </w:tr>
    </w:tbl>
    <w:p w:rsidR="00CA3C5E" w:rsidRDefault="00CA3C5E" w:rsidP="00425766">
      <w:pPr>
        <w:tabs>
          <w:tab w:val="left" w:pos="495"/>
        </w:tabs>
        <w:autoSpaceDN w:val="0"/>
        <w:spacing w:before="240"/>
        <w:jc w:val="both"/>
        <w:rPr>
          <w:rFonts w:eastAsiaTheme="minorEastAsia"/>
          <w:kern w:val="3"/>
          <w:lang w:eastAsia="ja-JP" w:bidi="fa-IR"/>
        </w:rPr>
      </w:pPr>
      <w:r>
        <w:rPr>
          <w:rFonts w:eastAsiaTheme="minorEastAsia"/>
          <w:kern w:val="3"/>
          <w:lang w:eastAsia="ja-JP" w:bidi="fa-IR"/>
        </w:rPr>
        <w:lastRenderedPageBreak/>
        <w:t xml:space="preserve">  </w:t>
      </w:r>
    </w:p>
    <w:p w:rsidR="00425766" w:rsidRDefault="00425766" w:rsidP="004257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 p r á v a </w:t>
      </w:r>
    </w:p>
    <w:p w:rsidR="00425766" w:rsidRDefault="00425766" w:rsidP="004257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kontrolnej činnosti hlavnej kontrolórky mesta za rok 2021</w:t>
      </w:r>
    </w:p>
    <w:p w:rsidR="00425766" w:rsidRDefault="00425766" w:rsidP="00425766">
      <w:pPr>
        <w:jc w:val="center"/>
        <w:rPr>
          <w:b/>
          <w:bCs/>
          <w:sz w:val="28"/>
          <w:szCs w:val="28"/>
        </w:rPr>
      </w:pPr>
    </w:p>
    <w:p w:rsidR="00425766" w:rsidRDefault="00425766" w:rsidP="00425766">
      <w:pPr>
        <w:jc w:val="center"/>
        <w:rPr>
          <w:b/>
          <w:bCs/>
          <w:sz w:val="28"/>
          <w:szCs w:val="28"/>
        </w:rPr>
      </w:pPr>
    </w:p>
    <w:p w:rsidR="00425766" w:rsidRDefault="00425766" w:rsidP="00425766">
      <w:pPr>
        <w:jc w:val="both"/>
      </w:pPr>
      <w:r>
        <w:t xml:space="preserve">       V súlade s ustanovením § 18f ods. 1 písm. e)  zákona 369/1990 Z. z. o obecnom zriadení v znení neskorších predpisov</w:t>
      </w:r>
      <w:r>
        <w:rPr>
          <w:bCs/>
        </w:rPr>
        <w:t xml:space="preserve"> predkladám </w:t>
      </w:r>
      <w:r w:rsidR="00B53DBE">
        <w:rPr>
          <w:bCs/>
        </w:rPr>
        <w:t xml:space="preserve"> </w:t>
      </w:r>
      <w:r>
        <w:t xml:space="preserve"> mestskému   zastupiteľstvu  v  Spišskej  Belej s</w:t>
      </w:r>
      <w:r>
        <w:rPr>
          <w:bCs/>
        </w:rPr>
        <w:t>právu o kontrolnej  činnosti</w:t>
      </w:r>
      <w:r>
        <w:t xml:space="preserve"> za rok 2021. </w:t>
      </w:r>
    </w:p>
    <w:p w:rsidR="00425766" w:rsidRDefault="00425766" w:rsidP="00425766">
      <w:pPr>
        <w:jc w:val="both"/>
      </w:pPr>
    </w:p>
    <w:p w:rsidR="00425766" w:rsidRDefault="00425766" w:rsidP="00425766">
      <w:pPr>
        <w:jc w:val="both"/>
      </w:pPr>
      <w:r>
        <w:t xml:space="preserve">     V roku 2021 som vykonávala kontroly podľa plánov kontrol, na základe ich doplnenia </w:t>
      </w:r>
      <w:r w:rsidR="00DF4F31">
        <w:t xml:space="preserve">a </w:t>
      </w:r>
      <w:r>
        <w:t> na základe zistení z vlastnej činnosti</w:t>
      </w:r>
      <w:r w:rsidR="00246403">
        <w:t xml:space="preserve"> a rôznych podnetov</w:t>
      </w:r>
      <w:r>
        <w:t xml:space="preserve">. </w:t>
      </w:r>
      <w:r w:rsidR="00DF4F31">
        <w:t xml:space="preserve">Mestské zastupiteľstvo </w:t>
      </w:r>
      <w:r>
        <w:t>schválilo na svojom zasadnutí dňa 1</w:t>
      </w:r>
      <w:r w:rsidR="00DF4F31">
        <w:t>0</w:t>
      </w:r>
      <w:r>
        <w:t>. 12. 20</w:t>
      </w:r>
      <w:r w:rsidR="00DF4F31">
        <w:t>20</w:t>
      </w:r>
      <w:r>
        <w:t xml:space="preserve">, uznesením č. </w:t>
      </w:r>
      <w:r w:rsidR="00DF4F31">
        <w:t>153/2020</w:t>
      </w:r>
      <w:r w:rsidR="00246403">
        <w:t>,</w:t>
      </w:r>
      <w:r>
        <w:t xml:space="preserve"> plán kontrolnej činnosti na I. polrok 202</w:t>
      </w:r>
      <w:r w:rsidR="00DF4F31">
        <w:t>1 a</w:t>
      </w:r>
      <w:r>
        <w:t xml:space="preserve">   dňa  </w:t>
      </w:r>
      <w:r w:rsidR="00DF4F31">
        <w:t>24. 6. 2021</w:t>
      </w:r>
      <w:r>
        <w:t xml:space="preserve">, uznesením č. </w:t>
      </w:r>
      <w:r w:rsidR="00DF4F31">
        <w:t>87/2021</w:t>
      </w:r>
      <w:r w:rsidR="00246403">
        <w:t>,</w:t>
      </w:r>
      <w:r>
        <w:t xml:space="preserve">  plán  na II. polrok 202</w:t>
      </w:r>
      <w:r w:rsidR="00DF4F31">
        <w:t>1</w:t>
      </w:r>
      <w:r>
        <w:t>.</w:t>
      </w:r>
      <w:r w:rsidR="00DF4F31">
        <w:t xml:space="preserve"> Na svojom zasadnutí dňa 26. 8. 2021 doplnilo plán činnosti uznesením č. 102/2021 o vykonanie kontrol investičných akcií v stanovenom zameraní</w:t>
      </w:r>
      <w:r w:rsidR="00D577C9">
        <w:t xml:space="preserve"> a rozsahu</w:t>
      </w:r>
      <w:r w:rsidR="00DF4F31">
        <w:t>.</w:t>
      </w:r>
    </w:p>
    <w:p w:rsidR="00425766" w:rsidRDefault="00425766" w:rsidP="00425766">
      <w:pPr>
        <w:jc w:val="both"/>
      </w:pPr>
    </w:p>
    <w:p w:rsidR="00425766" w:rsidRDefault="00425766" w:rsidP="00425766">
      <w:pPr>
        <w:jc w:val="both"/>
        <w:rPr>
          <w:rFonts w:eastAsiaTheme="minorHAnsi"/>
          <w:kern w:val="0"/>
          <w:lang w:eastAsia="en-US"/>
        </w:rPr>
      </w:pPr>
      <w:r>
        <w:rPr>
          <w:rFonts w:ascii="TimesNewRomanPSMT" w:eastAsiaTheme="minorHAnsi" w:hAnsi="TimesNewRomanPSMT" w:cs="TimesNewRomanPSMT"/>
          <w:kern w:val="0"/>
          <w:lang w:eastAsia="en-US"/>
        </w:rPr>
        <w:t xml:space="preserve">   </w:t>
      </w:r>
      <w:r>
        <w:rPr>
          <w:rFonts w:eastAsiaTheme="minorHAnsi"/>
          <w:kern w:val="0"/>
          <w:lang w:eastAsia="en-US"/>
        </w:rPr>
        <w:t xml:space="preserve"> Kontroly boli vykon</w:t>
      </w:r>
      <w:r w:rsidR="0048007B">
        <w:rPr>
          <w:rFonts w:eastAsiaTheme="minorHAnsi"/>
          <w:kern w:val="0"/>
          <w:lang w:eastAsia="en-US"/>
        </w:rPr>
        <w:t xml:space="preserve">ávané </w:t>
      </w:r>
      <w:r>
        <w:rPr>
          <w:rFonts w:eastAsiaTheme="minorHAnsi"/>
          <w:kern w:val="0"/>
          <w:lang w:eastAsia="en-US"/>
        </w:rPr>
        <w:t xml:space="preserve"> u povinných osôb a v rozsahu tak, ako to</w:t>
      </w:r>
      <w:r w:rsidR="0048007B">
        <w:rPr>
          <w:rFonts w:eastAsiaTheme="minorHAnsi"/>
          <w:kern w:val="0"/>
          <w:lang w:eastAsia="en-US"/>
        </w:rPr>
        <w:t xml:space="preserve"> v ustanovení § 18d</w:t>
      </w:r>
      <w:r>
        <w:rPr>
          <w:rFonts w:eastAsiaTheme="minorHAnsi"/>
          <w:kern w:val="0"/>
          <w:lang w:eastAsia="en-US"/>
        </w:rPr>
        <w:t xml:space="preserve"> stanovuje zákon o obecnom zriadení. V roku  202</w:t>
      </w:r>
      <w:r w:rsidR="0048007B">
        <w:rPr>
          <w:rFonts w:eastAsiaTheme="minorHAnsi"/>
          <w:kern w:val="0"/>
          <w:lang w:eastAsia="en-US"/>
        </w:rPr>
        <w:t>1</w:t>
      </w:r>
      <w:r>
        <w:rPr>
          <w:rFonts w:eastAsiaTheme="minorHAnsi"/>
          <w:kern w:val="0"/>
          <w:lang w:eastAsia="en-US"/>
        </w:rPr>
        <w:t xml:space="preserve"> som  urobila</w:t>
      </w:r>
      <w:r w:rsidR="00942384">
        <w:rPr>
          <w:rFonts w:eastAsiaTheme="minorHAnsi"/>
          <w:kern w:val="0"/>
          <w:lang w:eastAsia="en-US"/>
        </w:rPr>
        <w:t xml:space="preserve"> 11 </w:t>
      </w:r>
      <w:r w:rsidR="0048007B">
        <w:rPr>
          <w:rFonts w:eastAsiaTheme="minorHAnsi"/>
          <w:kern w:val="0"/>
          <w:lang w:eastAsia="en-US"/>
        </w:rPr>
        <w:t>kontrol,</w:t>
      </w:r>
      <w:r>
        <w:rPr>
          <w:rFonts w:eastAsiaTheme="minorHAnsi"/>
          <w:kern w:val="0"/>
          <w:lang w:eastAsia="en-US"/>
        </w:rPr>
        <w:t xml:space="preserve"> ktoré boli riadne ukončené, prerokované s kontrolovaným subjektom a </w:t>
      </w:r>
      <w:r w:rsidR="00D577C9">
        <w:rPr>
          <w:rFonts w:eastAsiaTheme="minorHAnsi"/>
          <w:kern w:val="0"/>
          <w:lang w:eastAsia="en-US"/>
        </w:rPr>
        <w:t xml:space="preserve"> o výsledkoch </w:t>
      </w:r>
      <w:r>
        <w:rPr>
          <w:rFonts w:eastAsiaTheme="minorHAnsi"/>
          <w:kern w:val="0"/>
          <w:lang w:eastAsia="en-US"/>
        </w:rPr>
        <w:t xml:space="preserve">bola predložená  priebežná správa </w:t>
      </w:r>
      <w:r w:rsidR="0048007B">
        <w:rPr>
          <w:rFonts w:eastAsiaTheme="minorHAnsi"/>
          <w:kern w:val="0"/>
          <w:lang w:eastAsia="en-US"/>
        </w:rPr>
        <w:t xml:space="preserve"> mestskému zastupiteľstvu.</w:t>
      </w:r>
    </w:p>
    <w:p w:rsidR="00425766" w:rsidRPr="00826929" w:rsidRDefault="00425766" w:rsidP="00425766">
      <w:pPr>
        <w:jc w:val="both"/>
        <w:rPr>
          <w:rFonts w:eastAsiaTheme="minorHAnsi"/>
          <w:kern w:val="0"/>
          <w:lang w:eastAsia="en-US"/>
        </w:rPr>
      </w:pPr>
    </w:p>
    <w:p w:rsidR="00E77B66" w:rsidRPr="00E77B66" w:rsidRDefault="00425766" w:rsidP="00E77B66">
      <w:pPr>
        <w:jc w:val="both"/>
        <w:rPr>
          <w:rFonts w:asciiTheme="minorHAnsi" w:eastAsiaTheme="minorHAnsi" w:hAnsiTheme="minorHAnsi" w:cstheme="minorBidi"/>
          <w:kern w:val="0"/>
          <w:sz w:val="22"/>
          <w:szCs w:val="22"/>
          <w:lang w:eastAsia="en-US"/>
        </w:rPr>
      </w:pPr>
      <w:r>
        <w:rPr>
          <w:rFonts w:eastAsiaTheme="minorHAnsi"/>
          <w:kern w:val="0"/>
          <w:lang w:eastAsia="en-US"/>
        </w:rPr>
        <w:t xml:space="preserve">     Pri preverovaní vedenia evidencie a vybavovania sťažností, petícií alebo podnetov občanov </w:t>
      </w:r>
      <w:r w:rsidR="0048007B">
        <w:rPr>
          <w:rFonts w:eastAsiaTheme="minorHAnsi"/>
          <w:kern w:val="0"/>
          <w:lang w:eastAsia="en-US"/>
        </w:rPr>
        <w:t>za rok 2020</w:t>
      </w:r>
      <w:r>
        <w:rPr>
          <w:rFonts w:eastAsiaTheme="minorHAnsi"/>
          <w:kern w:val="0"/>
          <w:lang w:eastAsia="en-US"/>
        </w:rPr>
        <w:t xml:space="preserve">  som nezistila nedostatky</w:t>
      </w:r>
      <w:r w:rsidR="0048007B">
        <w:rPr>
          <w:rFonts w:eastAsiaTheme="minorHAnsi"/>
          <w:kern w:val="0"/>
          <w:lang w:eastAsia="en-US"/>
        </w:rPr>
        <w:t xml:space="preserve">. V tomto roku </w:t>
      </w:r>
      <w:r w:rsidR="00CA3C5E">
        <w:rPr>
          <w:rFonts w:eastAsiaTheme="minorHAnsi"/>
          <w:kern w:val="0"/>
          <w:lang w:eastAsia="en-US"/>
        </w:rPr>
        <w:t xml:space="preserve">neboli podané sťažnosti, podnety, </w:t>
      </w:r>
      <w:r w:rsidR="0048007B">
        <w:rPr>
          <w:rFonts w:eastAsiaTheme="minorHAnsi"/>
          <w:kern w:val="0"/>
          <w:lang w:eastAsia="en-US"/>
        </w:rPr>
        <w:t>bol</w:t>
      </w:r>
      <w:r w:rsidR="00CA3C5E">
        <w:rPr>
          <w:rFonts w:eastAsiaTheme="minorHAnsi"/>
          <w:kern w:val="0"/>
          <w:lang w:eastAsia="en-US"/>
        </w:rPr>
        <w:t>a podaná</w:t>
      </w:r>
      <w:r w:rsidR="0048007B">
        <w:rPr>
          <w:rFonts w:eastAsiaTheme="minorHAnsi"/>
          <w:kern w:val="0"/>
          <w:lang w:eastAsia="en-US"/>
        </w:rPr>
        <w:t xml:space="preserve"> </w:t>
      </w:r>
      <w:r w:rsidR="00CA3C5E">
        <w:rPr>
          <w:rFonts w:eastAsiaTheme="minorHAnsi"/>
          <w:kern w:val="0"/>
          <w:lang w:eastAsia="en-US"/>
        </w:rPr>
        <w:t xml:space="preserve">1 </w:t>
      </w:r>
      <w:r w:rsidR="0048007B">
        <w:rPr>
          <w:rFonts w:eastAsiaTheme="minorHAnsi"/>
          <w:kern w:val="0"/>
          <w:lang w:eastAsia="en-US"/>
        </w:rPr>
        <w:t>petíci</w:t>
      </w:r>
      <w:r w:rsidR="00CA3C5E">
        <w:rPr>
          <w:rFonts w:eastAsiaTheme="minorHAnsi"/>
          <w:kern w:val="0"/>
          <w:lang w:eastAsia="en-US"/>
        </w:rPr>
        <w:t>a – „Za zrušenie veľkobetoná</w:t>
      </w:r>
      <w:r w:rsidR="00E77B66">
        <w:rPr>
          <w:rFonts w:eastAsiaTheme="minorHAnsi"/>
          <w:kern w:val="0"/>
          <w:lang w:eastAsia="en-US"/>
        </w:rPr>
        <w:t>rky v našom meste Spišská Belá“, po</w:t>
      </w:r>
      <w:r w:rsidR="00E77B66" w:rsidRPr="00E77B66">
        <w:rPr>
          <w:rFonts w:eastAsia="Andale Sans UI" w:cs="Tahoma"/>
          <w:kern w:val="3"/>
          <w:lang w:eastAsia="ja-JP" w:bidi="fa-IR"/>
        </w:rPr>
        <w:t xml:space="preserve"> prerokov</w:t>
      </w:r>
      <w:r w:rsidR="00E77B66">
        <w:rPr>
          <w:rFonts w:eastAsia="Andale Sans UI" w:cs="Tahoma"/>
          <w:kern w:val="3"/>
          <w:lang w:eastAsia="ja-JP" w:bidi="fa-IR"/>
        </w:rPr>
        <w:t>aní</w:t>
      </w:r>
      <w:r w:rsidR="00E77B66" w:rsidRPr="00E77B66">
        <w:rPr>
          <w:rFonts w:eastAsia="Andale Sans UI" w:cs="Tahoma"/>
          <w:kern w:val="3"/>
          <w:lang w:eastAsia="ja-JP" w:bidi="fa-IR"/>
        </w:rPr>
        <w:t xml:space="preserve"> boli vykonané konkrétne   opatrenia na odstránenie nedostatkov</w:t>
      </w:r>
      <w:r w:rsidR="00E77B66">
        <w:rPr>
          <w:rFonts w:eastAsia="Andale Sans UI" w:cs="Tahoma"/>
          <w:kern w:val="3"/>
          <w:lang w:eastAsia="ja-JP" w:bidi="fa-IR"/>
        </w:rPr>
        <w:t>,</w:t>
      </w:r>
      <w:r w:rsidR="00E77B66" w:rsidRPr="00E77B66">
        <w:rPr>
          <w:rFonts w:eastAsia="Andale Sans UI" w:cs="Tahoma"/>
          <w:kern w:val="3"/>
          <w:lang w:eastAsia="ja-JP" w:bidi="fa-IR"/>
        </w:rPr>
        <w:t xml:space="preserve"> </w:t>
      </w:r>
      <w:r w:rsidR="00E77B66">
        <w:rPr>
          <w:rFonts w:eastAsia="Andale Sans UI" w:cs="Tahoma"/>
          <w:kern w:val="3"/>
          <w:lang w:eastAsia="ja-JP" w:bidi="fa-IR"/>
        </w:rPr>
        <w:t>MsZ</w:t>
      </w:r>
      <w:r w:rsidR="00E77B66" w:rsidRPr="00E77B66">
        <w:rPr>
          <w:rFonts w:eastAsia="Andale Sans UI" w:cs="Tahoma"/>
          <w:kern w:val="3"/>
          <w:lang w:eastAsia="ja-JP" w:bidi="fa-IR"/>
        </w:rPr>
        <w:t xml:space="preserve"> petícii nevyhovelo</w:t>
      </w:r>
      <w:r w:rsidR="00E77B66">
        <w:rPr>
          <w:rFonts w:eastAsia="Andale Sans UI" w:cs="Tahoma"/>
          <w:kern w:val="3"/>
          <w:lang w:eastAsia="ja-JP" w:bidi="fa-IR"/>
        </w:rPr>
        <w:t>.</w:t>
      </w:r>
    </w:p>
    <w:p w:rsidR="00F93B9C" w:rsidRDefault="00CA3C5E" w:rsidP="00425766">
      <w:pPr>
        <w:pStyle w:val="Standard"/>
        <w:jc w:val="both"/>
        <w:rPr>
          <w:lang w:val="sk-SK"/>
        </w:rPr>
      </w:pPr>
      <w:r>
        <w:rPr>
          <w:rFonts w:eastAsiaTheme="minorHAnsi" w:cs="Times New Roman"/>
          <w:kern w:val="0"/>
          <w:lang w:val="sk-SK" w:eastAsia="en-US"/>
        </w:rPr>
        <w:t xml:space="preserve"> </w:t>
      </w:r>
      <w:r w:rsidR="00966984">
        <w:rPr>
          <w:rFonts w:eastAsiaTheme="minorHAnsi" w:cs="Times New Roman"/>
          <w:kern w:val="0"/>
          <w:lang w:val="sk-SK" w:eastAsia="en-US"/>
        </w:rPr>
        <w:t xml:space="preserve"> </w:t>
      </w:r>
      <w:bookmarkStart w:id="0" w:name="_GoBack"/>
      <w:bookmarkEnd w:id="0"/>
    </w:p>
    <w:p w:rsidR="00F93B9C" w:rsidRPr="00F93B9C" w:rsidRDefault="00F93B9C" w:rsidP="00425766">
      <w:pPr>
        <w:pStyle w:val="Standard"/>
        <w:jc w:val="both"/>
        <w:rPr>
          <w:lang w:val="sk-SK"/>
        </w:rPr>
      </w:pPr>
      <w:r w:rsidRPr="00F93B9C">
        <w:rPr>
          <w:rFonts w:eastAsiaTheme="minorHAnsi" w:cstheme="minorBidi"/>
          <w:kern w:val="0"/>
          <w:lang w:val="sk-SK" w:eastAsia="en-US"/>
        </w:rPr>
        <w:t xml:space="preserve">     Pri finančnej kontrole hospodárnosti, efektívnosti, účelnosti a účinnosti hotovostných aj bezhotovostných výdavkov a dodržiavania zákona o finančnej kontrole a audite za II. polrok 2020 bolo v jednom prípade zistené </w:t>
      </w:r>
      <w:r w:rsidRPr="00F93B9C">
        <w:rPr>
          <w:rFonts w:eastAsia="Andale Sans UI"/>
          <w:lang w:val="sk-SK"/>
        </w:rPr>
        <w:t xml:space="preserve"> porušenie ustanovenia § 3 ods. 1 zákona č. 431/2002 Z. z. o účtovníctve v znení neskorších predpisov, zároveň bola formálne urobená základná finančná kontrola zo dňa 4. 5. 2020, čím bolo porušené ustanovenia § 7 ods. 1 zákona č. 357/2015 Z. z. o finančnej kontrole a audite a o zmene a doplnení niektorých predpisov v znení neskorších predpisov.  Z dôvodu efektívneho vynakladania verejných prostriedkov som mestu navrhla prehodnotiť skutočné potreby mesta a</w:t>
      </w:r>
      <w:r w:rsidR="009C5753">
        <w:rPr>
          <w:rFonts w:eastAsia="Andale Sans UI"/>
          <w:lang w:val="sk-SK"/>
        </w:rPr>
        <w:t> </w:t>
      </w:r>
      <w:r w:rsidRPr="00F93B9C">
        <w:rPr>
          <w:rFonts w:eastAsia="Andale Sans UI"/>
          <w:lang w:val="sk-SK"/>
        </w:rPr>
        <w:t>aktualizovať</w:t>
      </w:r>
      <w:r w:rsidR="009C5753">
        <w:rPr>
          <w:rFonts w:eastAsia="Andale Sans UI"/>
          <w:lang w:val="sk-SK"/>
        </w:rPr>
        <w:t>, či upraviť</w:t>
      </w:r>
      <w:r w:rsidRPr="00F93B9C">
        <w:rPr>
          <w:rFonts w:eastAsia="Andale Sans UI"/>
          <w:lang w:val="sk-SK"/>
        </w:rPr>
        <w:t xml:space="preserve"> zmluvy o poskytovaní služieb.</w:t>
      </w:r>
    </w:p>
    <w:p w:rsidR="00425766" w:rsidRDefault="00425766" w:rsidP="00425766">
      <w:pPr>
        <w:pStyle w:val="Standard"/>
        <w:jc w:val="both"/>
        <w:rPr>
          <w:lang w:val="sk-SK"/>
        </w:rPr>
      </w:pPr>
    </w:p>
    <w:p w:rsidR="007C74D9" w:rsidRDefault="00425766" w:rsidP="00425766">
      <w:pPr>
        <w:pStyle w:val="Normlnywebov"/>
        <w:shd w:val="clear" w:color="auto" w:fill="FFFFFF"/>
        <w:spacing w:before="0" w:beforeAutospacing="0" w:after="240" w:afterAutospacing="0"/>
        <w:jc w:val="both"/>
        <w:textAlignment w:val="baseline"/>
        <w:rPr>
          <w:rStyle w:val="Siln"/>
          <w:b w:val="0"/>
          <w:color w:val="000000"/>
          <w:bdr w:val="none" w:sz="0" w:space="0" w:color="auto" w:frame="1"/>
          <w:shd w:val="clear" w:color="auto" w:fill="FFFFFF"/>
        </w:rPr>
      </w:pPr>
      <w:r>
        <w:rPr>
          <w:color w:val="000000"/>
        </w:rPr>
        <w:t xml:space="preserve">     </w:t>
      </w:r>
      <w:r w:rsidR="0048007B">
        <w:rPr>
          <w:color w:val="000000"/>
        </w:rPr>
        <w:t xml:space="preserve"> Každý rok vykonávam kontrolu </w:t>
      </w:r>
      <w:r w:rsidR="0048007B" w:rsidRPr="0048007B">
        <w:rPr>
          <w:color w:val="000000"/>
        </w:rPr>
        <w:t xml:space="preserve">zákonnosti, účinnosti, hospodárnosti a efektívnosti pri hospodárení a nakladaní s majetkom </w:t>
      </w:r>
      <w:r w:rsidR="0048007B">
        <w:rPr>
          <w:color w:val="000000"/>
        </w:rPr>
        <w:t>mesta v</w:t>
      </w:r>
      <w:r w:rsidR="005A0B8B">
        <w:rPr>
          <w:color w:val="000000"/>
        </w:rPr>
        <w:t xml:space="preserve"> jeho </w:t>
      </w:r>
      <w:r w:rsidR="0048007B">
        <w:rPr>
          <w:color w:val="000000"/>
        </w:rPr>
        <w:t xml:space="preserve">obchodných spoločnostiach. </w:t>
      </w:r>
      <w:r>
        <w:rPr>
          <w:rStyle w:val="Siln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</w:p>
    <w:p w:rsidR="00425766" w:rsidRDefault="007C74D9" w:rsidP="00425766">
      <w:pPr>
        <w:pStyle w:val="Normlnywebov"/>
        <w:shd w:val="clear" w:color="auto" w:fill="FFFFFF"/>
        <w:spacing w:before="0" w:beforeAutospacing="0" w:after="240" w:afterAutospacing="0"/>
        <w:jc w:val="both"/>
        <w:textAlignment w:val="baseline"/>
        <w:rPr>
          <w:color w:val="000000"/>
        </w:rPr>
      </w:pPr>
      <w:r>
        <w:rPr>
          <w:rStyle w:val="Siln"/>
          <w:b w:val="0"/>
          <w:color w:val="000000"/>
          <w:bdr w:val="none" w:sz="0" w:space="0" w:color="auto" w:frame="1"/>
          <w:shd w:val="clear" w:color="auto" w:fill="FFFFFF"/>
        </w:rPr>
        <w:t xml:space="preserve">     </w:t>
      </w:r>
      <w:r w:rsidR="00425766">
        <w:rPr>
          <w:color w:val="000000"/>
        </w:rPr>
        <w:t>Pri kontrole</w:t>
      </w:r>
      <w:r w:rsidR="005958C7">
        <w:rPr>
          <w:color w:val="000000"/>
        </w:rPr>
        <w:t xml:space="preserve"> hospodárenia </w:t>
      </w:r>
      <w:r w:rsidR="00425766">
        <w:rPr>
          <w:color w:val="000000"/>
        </w:rPr>
        <w:t xml:space="preserve"> v Lesoch Mesta Spišská Belá s. r. o.</w:t>
      </w:r>
      <w:r w:rsidR="005A0B8B">
        <w:rPr>
          <w:color w:val="000000"/>
        </w:rPr>
        <w:t xml:space="preserve"> v roku 2020 </w:t>
      </w:r>
      <w:r w:rsidR="00425766">
        <w:rPr>
          <w:color w:val="000000"/>
        </w:rPr>
        <w:t xml:space="preserve"> </w:t>
      </w:r>
      <w:r w:rsidR="00425766" w:rsidRPr="00D65EB5">
        <w:rPr>
          <w:color w:val="000000"/>
        </w:rPr>
        <w:t>neboli zistené nedostatky, rozdiely, alebo porušenia zákonných ustanovení.</w:t>
      </w:r>
      <w:r w:rsidR="00425766">
        <w:rPr>
          <w:color w:val="000000"/>
        </w:rPr>
        <w:t xml:space="preserve">  </w:t>
      </w:r>
      <w:r>
        <w:rPr>
          <w:color w:val="000000"/>
        </w:rPr>
        <w:t xml:space="preserve">Spoločnosť dosiahla zisk vo výške 2 418 eur, stav vytvorenej rezervy na pestovnú činnosť bol k 31. 12. 2020 vo výške 42 000 eur, pričom realizovali významnú  investíciu – rekoštrukciu lesných ciest za 222 tis. eur v rámci cezhraničného projektu. </w:t>
      </w:r>
    </w:p>
    <w:p w:rsidR="005958C7" w:rsidRPr="005958C7" w:rsidRDefault="00C963FF" w:rsidP="005958C7">
      <w:pPr>
        <w:jc w:val="both"/>
        <w:rPr>
          <w:rFonts w:eastAsiaTheme="minorEastAsia"/>
          <w:kern w:val="0"/>
        </w:rPr>
      </w:pPr>
      <w:r>
        <w:rPr>
          <w:color w:val="000000"/>
        </w:rPr>
        <w:t xml:space="preserve">     </w:t>
      </w:r>
      <w:r w:rsidR="005958C7">
        <w:rPr>
          <w:color w:val="000000"/>
        </w:rPr>
        <w:t>Mestský podnik Spišská Belá s. r. o.</w:t>
      </w:r>
      <w:r w:rsidR="00425766">
        <w:rPr>
          <w:color w:val="000000"/>
        </w:rPr>
        <w:t xml:space="preserve"> </w:t>
      </w:r>
      <w:r w:rsidR="005958C7">
        <w:rPr>
          <w:color w:val="000000"/>
        </w:rPr>
        <w:t xml:space="preserve">dosiahol v roku 2020 zisk vo výške 41 665 eur, </w:t>
      </w:r>
      <w:r w:rsidR="005958C7" w:rsidRPr="005958C7">
        <w:rPr>
          <w:rFonts w:eastAsiaTheme="minorEastAsia"/>
          <w:kern w:val="0"/>
        </w:rPr>
        <w:t xml:space="preserve">zaplatil mestu nájomné za areál na Továrenskej 30 vo výške 11 850,00 eur, za skládku TKO  vo výške 38 963,00 eur a za kameňolom 2 838,00 eur. </w:t>
      </w:r>
    </w:p>
    <w:p w:rsidR="005958C7" w:rsidRDefault="00425766" w:rsidP="00425766">
      <w:pPr>
        <w:jc w:val="both"/>
        <w:rPr>
          <w:rFonts w:eastAsiaTheme="minorHAnsi" w:cstheme="minorBidi"/>
          <w:kern w:val="0"/>
          <w:lang w:eastAsia="en-US"/>
        </w:rPr>
      </w:pPr>
      <w:r>
        <w:rPr>
          <w:color w:val="000000"/>
        </w:rPr>
        <w:t xml:space="preserve">    </w:t>
      </w:r>
      <w:r w:rsidRPr="00985419">
        <w:rPr>
          <w:rFonts w:eastAsiaTheme="minorHAnsi"/>
          <w:kern w:val="0"/>
          <w:lang w:eastAsia="en-US"/>
        </w:rPr>
        <w:t xml:space="preserve">Nedostatky </w:t>
      </w:r>
      <w:r>
        <w:rPr>
          <w:rFonts w:eastAsiaTheme="minorHAnsi"/>
          <w:kern w:val="0"/>
          <w:lang w:eastAsia="en-US"/>
        </w:rPr>
        <w:t xml:space="preserve"> </w:t>
      </w:r>
      <w:r w:rsidRPr="00985419">
        <w:rPr>
          <w:rFonts w:eastAsiaTheme="minorHAnsi"/>
          <w:kern w:val="0"/>
          <w:lang w:eastAsia="en-US"/>
        </w:rPr>
        <w:t xml:space="preserve">zistené </w:t>
      </w:r>
      <w:r>
        <w:rPr>
          <w:rFonts w:eastAsiaTheme="minorHAnsi"/>
          <w:kern w:val="0"/>
          <w:lang w:eastAsia="en-US"/>
        </w:rPr>
        <w:t xml:space="preserve"> </w:t>
      </w:r>
      <w:r w:rsidRPr="00985419">
        <w:rPr>
          <w:rFonts w:eastAsiaTheme="minorHAnsi"/>
          <w:kern w:val="0"/>
          <w:lang w:eastAsia="en-US"/>
        </w:rPr>
        <w:t>v</w:t>
      </w:r>
      <w:r w:rsidRPr="00985419">
        <w:rPr>
          <w:rFonts w:eastAsia="Times New Roman"/>
          <w:b/>
          <w:bCs/>
          <w:color w:val="000000"/>
          <w:kern w:val="0"/>
          <w:bdr w:val="none" w:sz="0" w:space="0" w:color="auto" w:frame="1"/>
        </w:rPr>
        <w:t xml:space="preserve"> </w:t>
      </w:r>
      <w:r w:rsidRPr="00985419">
        <w:rPr>
          <w:rFonts w:eastAsia="Times New Roman"/>
          <w:bCs/>
          <w:color w:val="000000"/>
          <w:kern w:val="0"/>
          <w:bdr w:val="none" w:sz="0" w:space="0" w:color="auto" w:frame="1"/>
        </w:rPr>
        <w:t xml:space="preserve"> hospodáren</w:t>
      </w:r>
      <w:r>
        <w:rPr>
          <w:rFonts w:eastAsia="Times New Roman"/>
          <w:bCs/>
          <w:color w:val="000000"/>
          <w:kern w:val="0"/>
          <w:bdr w:val="none" w:sz="0" w:space="0" w:color="auto" w:frame="1"/>
        </w:rPr>
        <w:t>í</w:t>
      </w:r>
      <w:r w:rsidR="005958C7">
        <w:rPr>
          <w:rFonts w:eastAsia="Times New Roman"/>
          <w:bCs/>
          <w:color w:val="000000"/>
          <w:kern w:val="0"/>
          <w:bdr w:val="none" w:sz="0" w:space="0" w:color="auto" w:frame="1"/>
        </w:rPr>
        <w:t>:</w:t>
      </w:r>
      <w:r w:rsidRPr="00534461">
        <w:rPr>
          <w:rFonts w:eastAsiaTheme="minorHAnsi" w:cstheme="minorBidi"/>
          <w:kern w:val="0"/>
          <w:lang w:eastAsia="en-US"/>
        </w:rPr>
        <w:t xml:space="preserve"> </w:t>
      </w:r>
      <w:r w:rsidR="005958C7">
        <w:rPr>
          <w:rFonts w:eastAsiaTheme="minorHAnsi" w:cstheme="minorBidi"/>
          <w:kern w:val="0"/>
          <w:lang w:eastAsia="en-US"/>
        </w:rPr>
        <w:t xml:space="preserve">    </w:t>
      </w:r>
    </w:p>
    <w:p w:rsidR="00417F60" w:rsidRDefault="00417F60" w:rsidP="005958C7">
      <w:pPr>
        <w:pStyle w:val="Odsekzoznamu"/>
        <w:numPr>
          <w:ilvl w:val="0"/>
          <w:numId w:val="2"/>
        </w:numPr>
        <w:jc w:val="both"/>
        <w:rPr>
          <w:rFonts w:eastAsiaTheme="minorHAnsi" w:cstheme="minorBidi"/>
          <w:kern w:val="0"/>
          <w:lang w:eastAsia="en-US"/>
        </w:rPr>
      </w:pPr>
      <w:r w:rsidRPr="005958C7">
        <w:rPr>
          <w:rFonts w:eastAsiaTheme="minorHAnsi" w:cstheme="minorBidi"/>
          <w:kern w:val="0"/>
          <w:lang w:eastAsia="en-US"/>
        </w:rPr>
        <w:t>nedostatočná evidencia stavu a pohybu zásob, nedostatočná ochrana majetku spoločnosti</w:t>
      </w:r>
    </w:p>
    <w:p w:rsidR="00DA6A23" w:rsidRPr="005958C7" w:rsidRDefault="00DA6A23" w:rsidP="00DA6A23">
      <w:pPr>
        <w:pStyle w:val="Odsekzoznamu"/>
        <w:jc w:val="both"/>
        <w:rPr>
          <w:rFonts w:eastAsiaTheme="minorHAnsi" w:cstheme="minorBidi"/>
          <w:kern w:val="0"/>
          <w:lang w:eastAsia="en-US"/>
        </w:rPr>
      </w:pPr>
    </w:p>
    <w:p w:rsidR="00417F60" w:rsidRDefault="005958C7" w:rsidP="00417F60">
      <w:pPr>
        <w:pStyle w:val="Odsekzoznamu"/>
        <w:numPr>
          <w:ilvl w:val="0"/>
          <w:numId w:val="2"/>
        </w:numPr>
        <w:jc w:val="both"/>
        <w:rPr>
          <w:rFonts w:eastAsiaTheme="minorHAnsi" w:cstheme="minorBidi"/>
          <w:kern w:val="0"/>
          <w:lang w:eastAsia="en-US"/>
        </w:rPr>
      </w:pPr>
      <w:r>
        <w:rPr>
          <w:rFonts w:eastAsiaTheme="minorHAnsi" w:cstheme="minorBidi"/>
          <w:kern w:val="0"/>
          <w:lang w:eastAsia="en-US"/>
        </w:rPr>
        <w:t>n</w:t>
      </w:r>
      <w:r w:rsidR="00417F60">
        <w:rPr>
          <w:rFonts w:eastAsiaTheme="minorHAnsi" w:cstheme="minorBidi"/>
          <w:kern w:val="0"/>
          <w:lang w:eastAsia="en-US"/>
        </w:rPr>
        <w:t>edoplatok spoločnosti v Environmentálnom fonde za uloženie odpadov vo výške 172 383,16 eur k 31. 12. 2021</w:t>
      </w:r>
      <w:r>
        <w:rPr>
          <w:rFonts w:eastAsiaTheme="minorHAnsi" w:cstheme="minorBidi"/>
          <w:kern w:val="0"/>
          <w:lang w:eastAsia="en-US"/>
        </w:rPr>
        <w:t xml:space="preserve">, </w:t>
      </w:r>
    </w:p>
    <w:p w:rsidR="005958C7" w:rsidRDefault="005958C7" w:rsidP="00417F60">
      <w:pPr>
        <w:pStyle w:val="Odsekzoznamu"/>
        <w:numPr>
          <w:ilvl w:val="0"/>
          <w:numId w:val="2"/>
        </w:numPr>
        <w:jc w:val="both"/>
        <w:rPr>
          <w:rFonts w:eastAsiaTheme="minorHAnsi" w:cstheme="minorBidi"/>
          <w:kern w:val="0"/>
          <w:lang w:eastAsia="en-US"/>
        </w:rPr>
      </w:pPr>
      <w:r>
        <w:rPr>
          <w:rFonts w:eastAsiaTheme="minorHAnsi" w:cstheme="minorBidi"/>
          <w:kern w:val="0"/>
          <w:lang w:eastAsia="en-US"/>
        </w:rPr>
        <w:t xml:space="preserve">rozborom a porovnávaním údajov </w:t>
      </w:r>
      <w:r w:rsidR="00C963FF">
        <w:rPr>
          <w:rFonts w:eastAsiaTheme="minorHAnsi" w:cstheme="minorBidi"/>
          <w:kern w:val="0"/>
          <w:lang w:eastAsia="en-US"/>
        </w:rPr>
        <w:t>bolo zistené, že spoločnosť dosiahla zisk vďaka zvýšeniu cien za uloženie odpadov, nie potrebným zvýšením efektívnosti a hospodárnosti</w:t>
      </w:r>
    </w:p>
    <w:p w:rsidR="00C963FF" w:rsidRDefault="00C963FF" w:rsidP="00C963FF">
      <w:pPr>
        <w:pStyle w:val="Odsekzoznamu"/>
        <w:numPr>
          <w:ilvl w:val="0"/>
          <w:numId w:val="2"/>
        </w:numPr>
        <w:jc w:val="both"/>
      </w:pPr>
      <w:r>
        <w:t>podľa technickej správy vyhodnotenia topografie skládky odpadov v Spišskej Belej za rok 2020 je  predpokladaný termín do naplnenia skládky november 2021, z rôznych dôvodov nebola povolená výstavba ďalšej kazety, čím sa spoločnosť aj mesto dostáva do časovej tiesne v riešení ukladania odpadov</w:t>
      </w:r>
      <w:r w:rsidR="00C3420E">
        <w:t>.</w:t>
      </w:r>
      <w:r>
        <w:t xml:space="preserve">   </w:t>
      </w:r>
    </w:p>
    <w:p w:rsidR="007C74D9" w:rsidRPr="005A0B8B" w:rsidRDefault="005A0B8B" w:rsidP="005A0B8B">
      <w:pPr>
        <w:pStyle w:val="Odsekzoznamu"/>
        <w:numPr>
          <w:ilvl w:val="0"/>
          <w:numId w:val="2"/>
        </w:numPr>
        <w:jc w:val="both"/>
        <w:rPr>
          <w:rFonts w:eastAsiaTheme="minorHAnsi" w:cstheme="minorBidi"/>
          <w:kern w:val="0"/>
          <w:lang w:eastAsia="en-US"/>
        </w:rPr>
      </w:pPr>
      <w:r>
        <w:t>p</w:t>
      </w:r>
      <w:r w:rsidR="00C963FF">
        <w:t>o vykonaných kontrolách spoločnosť nepredkladá návrhy opatrení na odstránenie nedostatkov, na ich nápravu a na odstránenie príčin ich vzniku</w:t>
      </w:r>
      <w:r w:rsidR="00654FA0">
        <w:t>. Potom nedostatky pretrvávajú,  nie sú odstránené a následnými kontrolami  sú opakovane vytýkané.</w:t>
      </w:r>
      <w:r w:rsidR="00F93B9C" w:rsidRPr="005A0B8B">
        <w:rPr>
          <w:rFonts w:eastAsiaTheme="minorHAnsi" w:cstheme="minorBidi"/>
          <w:kern w:val="0"/>
          <w:lang w:eastAsia="en-US"/>
        </w:rPr>
        <w:t xml:space="preserve"> </w:t>
      </w:r>
    </w:p>
    <w:p w:rsidR="00654FA0" w:rsidRPr="0055349D" w:rsidRDefault="00F93B9C" w:rsidP="00654FA0">
      <w:pPr>
        <w:widowControl/>
        <w:tabs>
          <w:tab w:val="left" w:pos="495"/>
        </w:tabs>
        <w:suppressAutoHyphens w:val="0"/>
        <w:spacing w:after="160" w:line="276" w:lineRule="auto"/>
        <w:ind w:left="360"/>
        <w:contextualSpacing/>
        <w:jc w:val="both"/>
        <w:rPr>
          <w:rFonts w:eastAsia="Andale Sans UI" w:cs="Tahoma"/>
          <w:kern w:val="3"/>
          <w:lang w:eastAsia="ja-JP" w:bidi="fa-IR"/>
        </w:rPr>
      </w:pPr>
      <w:r>
        <w:rPr>
          <w:rFonts w:eastAsiaTheme="minorHAnsi"/>
          <w:color w:val="363B3F"/>
          <w:kern w:val="0"/>
          <w:shd w:val="clear" w:color="auto" w:fill="FFFFFF"/>
          <w:lang w:eastAsia="en-US"/>
        </w:rPr>
        <w:t xml:space="preserve"> </w:t>
      </w:r>
      <w:r w:rsidR="00185118">
        <w:rPr>
          <w:rFonts w:eastAsiaTheme="minorHAnsi"/>
          <w:color w:val="363B3F"/>
          <w:kern w:val="0"/>
          <w:shd w:val="clear" w:color="auto" w:fill="FFFFFF"/>
          <w:lang w:eastAsia="en-US"/>
        </w:rPr>
        <w:t xml:space="preserve"> </w:t>
      </w:r>
    </w:p>
    <w:p w:rsidR="00654FA0" w:rsidRPr="00D414A5" w:rsidRDefault="00654FA0" w:rsidP="00654FA0">
      <w:pPr>
        <w:tabs>
          <w:tab w:val="left" w:pos="495"/>
        </w:tabs>
        <w:autoSpaceDN w:val="0"/>
        <w:jc w:val="both"/>
        <w:textAlignment w:val="baseline"/>
        <w:rPr>
          <w:rFonts w:eastAsiaTheme="minorEastAsia"/>
          <w:kern w:val="3"/>
          <w:lang w:eastAsia="ja-JP" w:bidi="fa-IR"/>
        </w:rPr>
      </w:pPr>
      <w:r w:rsidRPr="00D414A5">
        <w:rPr>
          <w:rFonts w:eastAsiaTheme="minorEastAsia"/>
          <w:kern w:val="3"/>
          <w:lang w:eastAsia="ja-JP" w:bidi="fa-IR"/>
        </w:rPr>
        <w:t xml:space="preserve">     Kontrola </w:t>
      </w:r>
      <w:r w:rsidR="005A0B8B">
        <w:rPr>
          <w:rFonts w:eastAsiaTheme="minorEastAsia"/>
          <w:kern w:val="3"/>
          <w:lang w:eastAsia="ja-JP" w:bidi="fa-IR"/>
        </w:rPr>
        <w:t xml:space="preserve">platenia za </w:t>
      </w:r>
      <w:r w:rsidRPr="00D414A5">
        <w:rPr>
          <w:rFonts w:eastAsiaTheme="minorEastAsia"/>
          <w:kern w:val="3"/>
          <w:lang w:eastAsia="ja-JP" w:bidi="fa-IR"/>
        </w:rPr>
        <w:t>prenáj</w:t>
      </w:r>
      <w:r w:rsidR="005A0B8B">
        <w:rPr>
          <w:rFonts w:eastAsiaTheme="minorEastAsia"/>
          <w:kern w:val="3"/>
          <w:lang w:eastAsia="ja-JP" w:bidi="fa-IR"/>
        </w:rPr>
        <w:t>om</w:t>
      </w:r>
      <w:r w:rsidRPr="00D414A5">
        <w:rPr>
          <w:rFonts w:eastAsiaTheme="minorEastAsia"/>
          <w:kern w:val="3"/>
          <w:lang w:eastAsia="ja-JP" w:bidi="fa-IR"/>
        </w:rPr>
        <w:t xml:space="preserve"> nebytových pri</w:t>
      </w:r>
      <w:r>
        <w:rPr>
          <w:rFonts w:eastAsiaTheme="minorEastAsia"/>
          <w:kern w:val="3"/>
          <w:lang w:eastAsia="ja-JP" w:bidi="fa-IR"/>
        </w:rPr>
        <w:t>e</w:t>
      </w:r>
      <w:r w:rsidRPr="00D414A5">
        <w:rPr>
          <w:rFonts w:eastAsiaTheme="minorEastAsia"/>
          <w:kern w:val="3"/>
          <w:lang w:eastAsia="ja-JP" w:bidi="fa-IR"/>
        </w:rPr>
        <w:t>storov bola bez</w:t>
      </w:r>
      <w:r>
        <w:rPr>
          <w:rFonts w:eastAsiaTheme="minorEastAsia"/>
          <w:kern w:val="3"/>
          <w:lang w:eastAsia="ja-JP" w:bidi="fa-IR"/>
        </w:rPr>
        <w:t xml:space="preserve"> zistených </w:t>
      </w:r>
      <w:r w:rsidRPr="00D414A5">
        <w:rPr>
          <w:rFonts w:eastAsiaTheme="minorEastAsia"/>
          <w:kern w:val="3"/>
          <w:lang w:eastAsia="ja-JP" w:bidi="fa-IR"/>
        </w:rPr>
        <w:t xml:space="preserve"> nedostatkov</w:t>
      </w:r>
      <w:r>
        <w:rPr>
          <w:rFonts w:eastAsiaTheme="minorEastAsia"/>
          <w:kern w:val="3"/>
          <w:lang w:eastAsia="ja-JP" w:bidi="fa-IR"/>
        </w:rPr>
        <w:t xml:space="preserve">. </w:t>
      </w:r>
      <w:r w:rsidR="005A0B8B">
        <w:rPr>
          <w:rFonts w:eastAsiaTheme="minorEastAsia"/>
          <w:kern w:val="3"/>
          <w:lang w:eastAsia="ja-JP" w:bidi="fa-IR"/>
        </w:rPr>
        <w:t>M</w:t>
      </w:r>
      <w:r w:rsidRPr="00D414A5">
        <w:rPr>
          <w:rFonts w:eastAsiaTheme="minorEastAsia"/>
          <w:kern w:val="0"/>
        </w:rPr>
        <w:t>esto prenajíma nebytové priestory 2</w:t>
      </w:r>
      <w:r>
        <w:rPr>
          <w:rFonts w:eastAsiaTheme="minorEastAsia"/>
          <w:kern w:val="0"/>
        </w:rPr>
        <w:t>7</w:t>
      </w:r>
      <w:r w:rsidRPr="00D414A5">
        <w:rPr>
          <w:rFonts w:eastAsiaTheme="minorEastAsia"/>
          <w:kern w:val="0"/>
        </w:rPr>
        <w:t xml:space="preserve"> subjektom. Celkové nájomné za nebytové priestory podľa platných nájomných zmlúv je za rok predpísané vo výške 80</w:t>
      </w:r>
      <w:r>
        <w:rPr>
          <w:rFonts w:eastAsiaTheme="minorEastAsia"/>
          <w:kern w:val="0"/>
        </w:rPr>
        <w:t> 330,01</w:t>
      </w:r>
      <w:r w:rsidRPr="00D414A5">
        <w:rPr>
          <w:rFonts w:eastAsiaTheme="minorEastAsia"/>
          <w:kern w:val="0"/>
        </w:rPr>
        <w:t xml:space="preserve"> </w:t>
      </w:r>
      <w:r>
        <w:rPr>
          <w:rFonts w:eastAsiaTheme="minorEastAsia"/>
          <w:kern w:val="0"/>
        </w:rPr>
        <w:t>eur,  s</w:t>
      </w:r>
      <w:r w:rsidRPr="00D414A5">
        <w:rPr>
          <w:rFonts w:eastAsiaTheme="minorEastAsia"/>
          <w:kern w:val="0"/>
        </w:rPr>
        <w:t xml:space="preserve">tav nedoplatkov k 30. 9. 2020 za nebytové priestory:  0 eur. </w:t>
      </w:r>
      <w:r w:rsidR="005A0B8B">
        <w:rPr>
          <w:rFonts w:eastAsiaTheme="minorEastAsia"/>
          <w:kern w:val="0"/>
        </w:rPr>
        <w:t>Z dôvodu zmiernenia dopadov pandémie bolo nájomcom v roku 2020 odpustené nájomné vo výške 3 185,49 eur.</w:t>
      </w:r>
    </w:p>
    <w:p w:rsidR="00654FA0" w:rsidRPr="00D414A5" w:rsidRDefault="00654FA0" w:rsidP="00654FA0">
      <w:pPr>
        <w:widowControl/>
        <w:suppressAutoHyphens w:val="0"/>
        <w:rPr>
          <w:rFonts w:eastAsiaTheme="minorEastAsia"/>
          <w:kern w:val="0"/>
        </w:rPr>
      </w:pPr>
      <w:r w:rsidRPr="00D414A5">
        <w:rPr>
          <w:rFonts w:eastAsiaTheme="minorEastAsia"/>
          <w:kern w:val="0"/>
        </w:rPr>
        <w:t xml:space="preserve">   </w:t>
      </w:r>
    </w:p>
    <w:p w:rsidR="00654FA0" w:rsidRPr="00654FA0" w:rsidRDefault="00654FA0" w:rsidP="00654FA0">
      <w:pPr>
        <w:jc w:val="both"/>
        <w:rPr>
          <w:rFonts w:eastAsiaTheme="minorEastAsia"/>
          <w:kern w:val="0"/>
        </w:rPr>
      </w:pPr>
      <w:r>
        <w:rPr>
          <w:rFonts w:eastAsiaTheme="minorEastAsia"/>
          <w:kern w:val="0"/>
        </w:rPr>
        <w:t xml:space="preserve">     Ďalšia kontrola bola zameraná na stav, evidenciu a vymáhanie nájomného za byty. </w:t>
      </w:r>
      <w:r w:rsidRPr="00D414A5">
        <w:rPr>
          <w:rFonts w:eastAsiaTheme="minorEastAsia"/>
          <w:kern w:val="0"/>
        </w:rPr>
        <w:t xml:space="preserve"> Mesto Spišská Belá má  20</w:t>
      </w:r>
      <w:r>
        <w:rPr>
          <w:rFonts w:eastAsiaTheme="minorEastAsia"/>
          <w:kern w:val="0"/>
        </w:rPr>
        <w:t>7</w:t>
      </w:r>
      <w:r w:rsidRPr="00D414A5">
        <w:rPr>
          <w:rFonts w:eastAsiaTheme="minorEastAsia"/>
          <w:kern w:val="0"/>
        </w:rPr>
        <w:t xml:space="preserve"> nájomných bytov, </w:t>
      </w:r>
      <w:r>
        <w:rPr>
          <w:rFonts w:eastAsiaTheme="minorEastAsia"/>
          <w:kern w:val="0"/>
        </w:rPr>
        <w:t xml:space="preserve">jeden je voľný, plánuje sa jeho rekonštrukcia. </w:t>
      </w:r>
      <w:r w:rsidRPr="00654FA0">
        <w:rPr>
          <w:rFonts w:eastAsiaTheme="minorEastAsia"/>
          <w:kern w:val="0"/>
        </w:rPr>
        <w:t>Nájomné bolo v roku 2020 predpísané  vo výške 301 141,40 eur.</w:t>
      </w:r>
    </w:p>
    <w:p w:rsidR="00654FA0" w:rsidRPr="00654FA0" w:rsidRDefault="00654FA0" w:rsidP="00654FA0">
      <w:pPr>
        <w:widowControl/>
        <w:suppressAutoHyphens w:val="0"/>
        <w:spacing w:after="160"/>
        <w:jc w:val="both"/>
        <w:rPr>
          <w:rFonts w:eastAsiaTheme="minorEastAsia"/>
          <w:kern w:val="0"/>
        </w:rPr>
      </w:pPr>
      <w:r w:rsidRPr="00654FA0">
        <w:rPr>
          <w:rFonts w:eastAsiaTheme="minorEastAsia"/>
          <w:kern w:val="0"/>
        </w:rPr>
        <w:t xml:space="preserve">     Evidovaný dlh na nájomnom vo výške 4 441,70  eur vykazujú nájomníci, ktorí v mestských bytoch aktuálne bývajú. Mesto eviduje aj  dlh vo výške    8 791,74  eur, ktorý vytvorili dlhodobí  neplatiči.  Vymáhanie tejto sumy  je v podstate bezvýsledné.</w:t>
      </w:r>
      <w:r>
        <w:rPr>
          <w:rFonts w:eastAsiaTheme="minorEastAsia"/>
          <w:kern w:val="0"/>
        </w:rPr>
        <w:t xml:space="preserve"> Mesto predchádza vzniku vysokých nedoplatkov výzvami, dohodami o splátkach a pod.</w:t>
      </w:r>
    </w:p>
    <w:p w:rsidR="00C3420E" w:rsidRDefault="00654FA0" w:rsidP="00C3420E">
      <w:pPr>
        <w:widowControl/>
        <w:shd w:val="clear" w:color="auto" w:fill="FFFFFF"/>
        <w:suppressAutoHyphens w:val="0"/>
        <w:jc w:val="both"/>
        <w:textAlignment w:val="baseline"/>
        <w:rPr>
          <w:rFonts w:ascii="Calibri" w:eastAsia="Andale Sans UI" w:hAnsi="Calibri" w:cs="Tahoma"/>
          <w:kern w:val="3"/>
          <w:lang w:eastAsia="ja-JP" w:bidi="fa-IR"/>
        </w:rPr>
      </w:pPr>
      <w:r w:rsidRPr="00A10C8A">
        <w:rPr>
          <w:rFonts w:eastAsiaTheme="minorHAnsi"/>
          <w:kern w:val="0"/>
          <w:lang w:eastAsia="en-US"/>
        </w:rPr>
        <w:t xml:space="preserve">   Mestské zastupiteľstvo každoročne informujem o stave  pohľadávok na miestnych daniach a poplatkoch k 30. 9</w:t>
      </w:r>
      <w:r w:rsidR="0039789F">
        <w:rPr>
          <w:rFonts w:eastAsiaTheme="minorHAnsi"/>
          <w:kern w:val="0"/>
          <w:lang w:eastAsia="en-US"/>
        </w:rPr>
        <w:t xml:space="preserve">. na základe vykonanej kontroly. </w:t>
      </w:r>
      <w:r w:rsidR="0039789F" w:rsidRPr="0039789F">
        <w:rPr>
          <w:rFonts w:eastAsia="Andale Sans UI" w:cs="Tahoma"/>
          <w:b/>
          <w:kern w:val="3"/>
          <w:lang w:eastAsia="ja-JP" w:bidi="fa-IR"/>
        </w:rPr>
        <w:t xml:space="preserve"> </w:t>
      </w:r>
      <w:r w:rsidR="0039789F" w:rsidRPr="0039789F">
        <w:rPr>
          <w:rFonts w:eastAsia="Andale Sans UI" w:cs="Tahoma"/>
          <w:kern w:val="3"/>
          <w:lang w:eastAsia="ja-JP" w:bidi="fa-IR"/>
        </w:rPr>
        <w:t xml:space="preserve">V roku 2021 vyrubilo mesto  miestne dane v celkovej výške  208 381,60 eur, miestny poplatok za odpady vo výške 221 358,74 eur,  stav predpisov je k 30. 9. 2021. </w:t>
      </w:r>
      <w:r w:rsidR="0039789F">
        <w:rPr>
          <w:rFonts w:eastAsia="Andale Sans UI" w:cs="Tahoma"/>
          <w:kern w:val="3"/>
          <w:lang w:eastAsia="ja-JP" w:bidi="fa-IR"/>
        </w:rPr>
        <w:t>K rovnakému dátumu je celkový nedoplatok vo výške 76 845,31 eur, z toho dane: 10 842,62 eur a poplatok 66 002,69 eur.</w:t>
      </w:r>
      <w:r w:rsidR="0039789F" w:rsidRPr="0039789F">
        <w:rPr>
          <w:rFonts w:ascii="Calibri" w:eastAsia="Andale Sans UI" w:hAnsi="Calibri" w:cs="Tahoma"/>
          <w:kern w:val="3"/>
          <w:lang w:eastAsia="ja-JP" w:bidi="fa-IR"/>
        </w:rPr>
        <w:t xml:space="preserve"> </w:t>
      </w:r>
    </w:p>
    <w:p w:rsidR="00654FA0" w:rsidRDefault="0039789F" w:rsidP="00C3420E">
      <w:pPr>
        <w:widowControl/>
        <w:shd w:val="clear" w:color="auto" w:fill="FFFFFF"/>
        <w:suppressAutoHyphens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39789F">
        <w:rPr>
          <w:rFonts w:eastAsia="Andale Sans UI" w:cs="Tahoma"/>
          <w:kern w:val="3"/>
          <w:lang w:eastAsia="ja-JP" w:bidi="fa-IR"/>
        </w:rPr>
        <w:t xml:space="preserve">     Na zvýšenie účinnosti vymáhania nedoplatkov, hlavne za miestny poplatok za odpady,  je potrebné zo strany mesta prijať nové, účinné opatrenia. </w:t>
      </w:r>
      <w:r w:rsidR="00C3420E">
        <w:rPr>
          <w:rFonts w:eastAsia="Andale Sans UI" w:cs="Tahoma"/>
          <w:kern w:val="3"/>
          <w:lang w:eastAsia="ja-JP" w:bidi="fa-IR"/>
        </w:rPr>
        <w:t>Vzhľadom na</w:t>
      </w:r>
      <w:r w:rsidRPr="0039789F">
        <w:rPr>
          <w:rFonts w:eastAsia="Andale Sans UI" w:cs="Tahoma"/>
          <w:kern w:val="3"/>
          <w:lang w:eastAsia="ja-JP" w:bidi="fa-IR"/>
        </w:rPr>
        <w:t xml:space="preserve"> pripravovanú zmenu na  </w:t>
      </w:r>
      <w:r w:rsidR="00C3420E">
        <w:rPr>
          <w:rFonts w:eastAsia="Andale Sans UI" w:cs="Tahoma"/>
          <w:kern w:val="3"/>
          <w:lang w:eastAsia="ja-JP" w:bidi="fa-IR"/>
        </w:rPr>
        <w:t>platenie za konkrétne</w:t>
      </w:r>
      <w:r>
        <w:rPr>
          <w:rFonts w:eastAsia="Andale Sans UI" w:cs="Tahoma"/>
          <w:kern w:val="3"/>
          <w:lang w:eastAsia="ja-JP" w:bidi="fa-IR"/>
        </w:rPr>
        <w:t xml:space="preserve"> množstv</w:t>
      </w:r>
      <w:r w:rsidR="00C3420E">
        <w:rPr>
          <w:rFonts w:eastAsia="Andale Sans UI" w:cs="Tahoma"/>
          <w:kern w:val="3"/>
          <w:lang w:eastAsia="ja-JP" w:bidi="fa-IR"/>
        </w:rPr>
        <w:t>o</w:t>
      </w:r>
      <w:r w:rsidRPr="0039789F">
        <w:rPr>
          <w:rFonts w:eastAsia="Andale Sans UI" w:cs="Tahoma"/>
          <w:kern w:val="3"/>
          <w:lang w:eastAsia="ja-JP" w:bidi="fa-IR"/>
        </w:rPr>
        <w:t xml:space="preserve"> </w:t>
      </w:r>
      <w:r>
        <w:rPr>
          <w:rFonts w:eastAsia="Andale Sans UI" w:cs="Tahoma"/>
          <w:kern w:val="3"/>
          <w:lang w:eastAsia="ja-JP" w:bidi="fa-IR"/>
        </w:rPr>
        <w:t xml:space="preserve">vyvážaného odpadu </w:t>
      </w:r>
      <w:r w:rsidR="00C3420E">
        <w:rPr>
          <w:rFonts w:eastAsia="Andale Sans UI" w:cs="Tahoma"/>
          <w:kern w:val="3"/>
          <w:lang w:eastAsia="ja-JP" w:bidi="fa-IR"/>
        </w:rPr>
        <w:t>je potrebné využiť prechodné obdobie na vysporiadanie starých dlhov.</w:t>
      </w:r>
      <w:r w:rsidR="00942384">
        <w:rPr>
          <w:rFonts w:eastAsia="Andale Sans UI" w:cs="Tahoma"/>
          <w:kern w:val="3"/>
          <w:lang w:eastAsia="ja-JP" w:bidi="fa-IR"/>
        </w:rPr>
        <w:t xml:space="preserve">  </w:t>
      </w:r>
    </w:p>
    <w:p w:rsidR="00942384" w:rsidRDefault="00942384" w:rsidP="0039789F">
      <w:pPr>
        <w:widowControl/>
        <w:tabs>
          <w:tab w:val="left" w:pos="495"/>
        </w:tabs>
        <w:suppressAutoHyphens w:val="0"/>
        <w:spacing w:before="240" w:after="160"/>
        <w:contextualSpacing/>
        <w:jc w:val="both"/>
        <w:rPr>
          <w:rFonts w:eastAsiaTheme="minorEastAsia"/>
          <w:kern w:val="0"/>
        </w:rPr>
      </w:pPr>
    </w:p>
    <w:p w:rsidR="00942384" w:rsidRPr="00942384" w:rsidRDefault="00942384" w:rsidP="0004162D">
      <w:pPr>
        <w:jc w:val="both"/>
        <w:rPr>
          <w:rFonts w:eastAsiaTheme="minorHAnsi"/>
          <w:b/>
          <w:kern w:val="0"/>
          <w:sz w:val="28"/>
          <w:szCs w:val="28"/>
          <w:lang w:eastAsia="en-US"/>
        </w:rPr>
      </w:pPr>
      <w:r>
        <w:rPr>
          <w:rFonts w:eastAsiaTheme="minorEastAsia"/>
          <w:kern w:val="0"/>
        </w:rPr>
        <w:t xml:space="preserve">     Pri kontrole postupu pri obstaraní rozpočtu oploteni</w:t>
      </w:r>
      <w:r w:rsidR="00CC4526">
        <w:rPr>
          <w:rFonts w:eastAsiaTheme="minorEastAsia"/>
          <w:kern w:val="0"/>
        </w:rPr>
        <w:t>a</w:t>
      </w:r>
      <w:r>
        <w:rPr>
          <w:rFonts w:eastAsiaTheme="minorEastAsia"/>
          <w:kern w:val="0"/>
        </w:rPr>
        <w:t xml:space="preserve"> </w:t>
      </w:r>
      <w:r w:rsidR="00C3420E">
        <w:rPr>
          <w:rFonts w:eastAsiaTheme="minorEastAsia"/>
          <w:kern w:val="0"/>
        </w:rPr>
        <w:t>materskej školy</w:t>
      </w:r>
      <w:r>
        <w:rPr>
          <w:rFonts w:eastAsiaTheme="minorEastAsia"/>
          <w:kern w:val="0"/>
        </w:rPr>
        <w:t xml:space="preserve">, obsahu, vypracovania, doručenia a predloženia na komisiu výstavby dňa 19. 8. 2021 som zistila nedostatky týkajúce sa neoprávneného použitia </w:t>
      </w:r>
      <w:r w:rsidRPr="00942384">
        <w:rPr>
          <w:rFonts w:eastAsia="Arial"/>
          <w:kern w:val="0"/>
          <w:lang w:eastAsia="en-US"/>
        </w:rPr>
        <w:t>pečiatky autorizovaného stavebného inžiniera na rozpočte stavebnej  akcie mesta</w:t>
      </w:r>
      <w:r>
        <w:rPr>
          <w:rFonts w:eastAsia="Arial"/>
          <w:kern w:val="0"/>
          <w:lang w:eastAsia="en-US"/>
        </w:rPr>
        <w:t xml:space="preserve"> a vypracovanie rozpočtu na vyšší rozsah prác ak</w:t>
      </w:r>
      <w:r w:rsidR="005A0B8B">
        <w:rPr>
          <w:rFonts w:eastAsia="Arial"/>
          <w:kern w:val="0"/>
          <w:lang w:eastAsia="en-US"/>
        </w:rPr>
        <w:t>o</w:t>
      </w:r>
      <w:r>
        <w:rPr>
          <w:rFonts w:eastAsia="Arial"/>
          <w:kern w:val="0"/>
          <w:lang w:eastAsia="en-US"/>
        </w:rPr>
        <w:t xml:space="preserve"> bolo skutočne potrebné. Vzhľadom na pochybnosti, ktoré</w:t>
      </w:r>
      <w:r w:rsidR="005A0B8B">
        <w:rPr>
          <w:rFonts w:eastAsia="Arial"/>
          <w:kern w:val="0"/>
          <w:lang w:eastAsia="en-US"/>
        </w:rPr>
        <w:t xml:space="preserve"> takto</w:t>
      </w:r>
      <w:r>
        <w:rPr>
          <w:rFonts w:eastAsia="Arial"/>
          <w:kern w:val="0"/>
          <w:lang w:eastAsia="en-US"/>
        </w:rPr>
        <w:t xml:space="preserve"> vznikli</w:t>
      </w:r>
      <w:r w:rsidR="005A0B8B">
        <w:rPr>
          <w:rFonts w:eastAsia="Arial"/>
          <w:kern w:val="0"/>
          <w:lang w:eastAsia="en-US"/>
        </w:rPr>
        <w:t>,</w:t>
      </w:r>
      <w:r>
        <w:rPr>
          <w:rFonts w:eastAsia="Arial"/>
          <w:kern w:val="0"/>
          <w:lang w:eastAsia="en-US"/>
        </w:rPr>
        <w:t xml:space="preserve"> </w:t>
      </w:r>
      <w:r w:rsidR="0004162D">
        <w:rPr>
          <w:rFonts w:eastAsia="Arial"/>
          <w:kern w:val="0"/>
          <w:lang w:eastAsia="en-US"/>
        </w:rPr>
        <w:t>bolo potrebné prijať opatrenia na odstránenie príčin vzniku takýchto nedostatkov</w:t>
      </w:r>
      <w:r w:rsidR="005A0B8B">
        <w:rPr>
          <w:rFonts w:eastAsia="Arial"/>
          <w:kern w:val="0"/>
          <w:lang w:eastAsia="en-US"/>
        </w:rPr>
        <w:t>, aby mestu nebola spôsobená škoda.</w:t>
      </w:r>
      <w:r>
        <w:rPr>
          <w:rFonts w:eastAsia="Arial"/>
          <w:kern w:val="0"/>
          <w:lang w:eastAsia="en-US"/>
        </w:rPr>
        <w:t xml:space="preserve"> </w:t>
      </w:r>
      <w:r>
        <w:rPr>
          <w:rFonts w:eastAsia="Arial"/>
          <w:b/>
          <w:kern w:val="0"/>
          <w:sz w:val="28"/>
          <w:szCs w:val="28"/>
          <w:lang w:eastAsia="en-US"/>
        </w:rPr>
        <w:t xml:space="preserve"> </w:t>
      </w:r>
    </w:p>
    <w:p w:rsidR="005A0B8B" w:rsidRPr="00942384" w:rsidRDefault="005A0B8B" w:rsidP="005A0B8B">
      <w:pPr>
        <w:widowControl/>
        <w:shd w:val="clear" w:color="auto" w:fill="FFFFFF"/>
        <w:suppressAutoHyphens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5A0B8B" w:rsidRDefault="005A0B8B" w:rsidP="005A0B8B">
      <w:pPr>
        <w:widowControl/>
        <w:tabs>
          <w:tab w:val="left" w:pos="495"/>
        </w:tabs>
        <w:suppressAutoHyphens w:val="0"/>
        <w:spacing w:before="240" w:after="160"/>
        <w:contextualSpacing/>
        <w:jc w:val="both"/>
        <w:rPr>
          <w:rFonts w:eastAsiaTheme="minorEastAsia"/>
          <w:kern w:val="0"/>
        </w:rPr>
      </w:pPr>
      <w:r w:rsidRPr="0039789F">
        <w:rPr>
          <w:rFonts w:eastAsiaTheme="minorEastAsia"/>
          <w:kern w:val="0"/>
        </w:rPr>
        <w:t xml:space="preserve">     </w:t>
      </w:r>
      <w:r>
        <w:rPr>
          <w:rFonts w:eastAsiaTheme="minorEastAsia"/>
          <w:kern w:val="0"/>
        </w:rPr>
        <w:t>Aktuálnu k</w:t>
      </w:r>
      <w:r w:rsidRPr="0039789F">
        <w:rPr>
          <w:rFonts w:eastAsiaTheme="minorEastAsia"/>
          <w:kern w:val="0"/>
        </w:rPr>
        <w:t>ontrolu dodržiavania opatrenia pri ohrození verejného zdravia ÚVZ, ktoré bolo vydané vo Vestníku vlády ako vyhláške č. 264/2021 V. v., som vykonala dňa  9. 12. 2021. Mesto vedie potrebnú evidenciu a plní svoje povinnosti pri podmieňovaní vstupu na pracovisko a do iných priestorov zamestnávateľa. Pri kontrole neboli zistené porušenia platných všeobecne záväzných právnych predpisov.</w:t>
      </w:r>
    </w:p>
    <w:p w:rsidR="00654FA0" w:rsidRDefault="00942384" w:rsidP="00283438">
      <w:pPr>
        <w:widowControl/>
        <w:tabs>
          <w:tab w:val="left" w:pos="495"/>
        </w:tabs>
        <w:suppressAutoHyphens w:val="0"/>
        <w:spacing w:before="240" w:after="160"/>
        <w:contextualSpacing/>
        <w:jc w:val="both"/>
        <w:rPr>
          <w:rFonts w:eastAsiaTheme="minorHAnsi"/>
          <w:color w:val="363B3F"/>
          <w:kern w:val="0"/>
          <w:shd w:val="clear" w:color="auto" w:fill="FFFFFF"/>
          <w:lang w:eastAsia="en-US"/>
        </w:rPr>
      </w:pPr>
      <w:r>
        <w:rPr>
          <w:rFonts w:eastAsiaTheme="minorEastAsia"/>
          <w:kern w:val="0"/>
        </w:rPr>
        <w:lastRenderedPageBreak/>
        <w:t xml:space="preserve"> </w:t>
      </w:r>
      <w:r w:rsidR="000722CD">
        <w:rPr>
          <w:rFonts w:eastAsiaTheme="minorHAnsi"/>
          <w:color w:val="363B3F"/>
          <w:kern w:val="0"/>
          <w:shd w:val="clear" w:color="auto" w:fill="FFFFFF"/>
          <w:lang w:eastAsia="en-US"/>
        </w:rPr>
        <w:t xml:space="preserve"> </w:t>
      </w:r>
      <w:r w:rsidR="00F93B9C">
        <w:rPr>
          <w:rFonts w:eastAsiaTheme="minorHAnsi"/>
          <w:color w:val="363B3F"/>
          <w:kern w:val="0"/>
          <w:shd w:val="clear" w:color="auto" w:fill="FFFFFF"/>
          <w:lang w:eastAsia="en-US"/>
        </w:rPr>
        <w:t xml:space="preserve"> K</w:t>
      </w:r>
      <w:r w:rsidR="00F93B9C" w:rsidRPr="00F93B9C">
        <w:rPr>
          <w:rFonts w:eastAsiaTheme="minorHAnsi"/>
          <w:color w:val="363B3F"/>
          <w:kern w:val="0"/>
          <w:shd w:val="clear" w:color="auto" w:fill="FFFFFF"/>
          <w:lang w:eastAsia="en-US"/>
        </w:rPr>
        <w:t>ontrol</w:t>
      </w:r>
      <w:r w:rsidR="00F93B9C">
        <w:rPr>
          <w:rFonts w:eastAsiaTheme="minorHAnsi"/>
          <w:color w:val="363B3F"/>
          <w:kern w:val="0"/>
          <w:shd w:val="clear" w:color="auto" w:fill="FFFFFF"/>
          <w:lang w:eastAsia="en-US"/>
        </w:rPr>
        <w:t>u</w:t>
      </w:r>
      <w:r w:rsidR="00F93B9C" w:rsidRPr="00F93B9C">
        <w:rPr>
          <w:rFonts w:eastAsiaTheme="minorHAnsi"/>
          <w:color w:val="363B3F"/>
          <w:kern w:val="0"/>
          <w:shd w:val="clear" w:color="auto" w:fill="FFFFFF"/>
          <w:lang w:eastAsia="en-US"/>
        </w:rPr>
        <w:t xml:space="preserve"> dodržiavania platnej legislatívy, interných smerníc a zmluvných podmienok</w:t>
      </w:r>
      <w:r w:rsidR="005A0B8B">
        <w:rPr>
          <w:rFonts w:eastAsiaTheme="minorHAnsi"/>
          <w:color w:val="363B3F"/>
          <w:kern w:val="0"/>
          <w:shd w:val="clear" w:color="auto" w:fill="FFFFFF"/>
          <w:lang w:eastAsia="en-US"/>
        </w:rPr>
        <w:t xml:space="preserve"> a pod. </w:t>
      </w:r>
      <w:r w:rsidR="00F93B9C" w:rsidRPr="00F93B9C">
        <w:rPr>
          <w:rFonts w:eastAsiaTheme="minorHAnsi"/>
          <w:color w:val="363B3F"/>
          <w:kern w:val="0"/>
          <w:shd w:val="clear" w:color="auto" w:fill="FFFFFF"/>
          <w:lang w:eastAsia="en-US"/>
        </w:rPr>
        <w:t xml:space="preserve"> pri realizácii, financovaní</w:t>
      </w:r>
      <w:r w:rsidR="000722CD">
        <w:rPr>
          <w:rFonts w:eastAsiaTheme="minorHAnsi"/>
          <w:color w:val="363B3F"/>
          <w:kern w:val="0"/>
          <w:shd w:val="clear" w:color="auto" w:fill="FFFFFF"/>
          <w:lang w:eastAsia="en-US"/>
        </w:rPr>
        <w:t>,</w:t>
      </w:r>
      <w:r w:rsidR="00F93B9C" w:rsidRPr="00F93B9C">
        <w:rPr>
          <w:rFonts w:eastAsiaTheme="minorHAnsi"/>
          <w:color w:val="363B3F"/>
          <w:kern w:val="0"/>
          <w:shd w:val="clear" w:color="auto" w:fill="FFFFFF"/>
          <w:lang w:eastAsia="en-US"/>
        </w:rPr>
        <w:t xml:space="preserve"> účtovaní </w:t>
      </w:r>
      <w:r w:rsidR="000722CD">
        <w:rPr>
          <w:rFonts w:eastAsiaTheme="minorHAnsi"/>
          <w:color w:val="363B3F"/>
          <w:kern w:val="0"/>
          <w:shd w:val="clear" w:color="auto" w:fill="FFFFFF"/>
          <w:lang w:eastAsia="en-US"/>
        </w:rPr>
        <w:t xml:space="preserve">a využívaní </w:t>
      </w:r>
      <w:r w:rsidR="005A0B8B">
        <w:rPr>
          <w:rFonts w:eastAsiaTheme="minorHAnsi"/>
          <w:color w:val="363B3F"/>
          <w:kern w:val="0"/>
          <w:shd w:val="clear" w:color="auto" w:fill="FFFFFF"/>
          <w:lang w:eastAsia="en-US"/>
        </w:rPr>
        <w:t>ukončených</w:t>
      </w:r>
      <w:r w:rsidR="000722CD">
        <w:rPr>
          <w:rFonts w:eastAsiaTheme="minorHAnsi"/>
          <w:color w:val="363B3F"/>
          <w:kern w:val="0"/>
          <w:shd w:val="clear" w:color="auto" w:fill="FFFFFF"/>
          <w:lang w:eastAsia="en-US"/>
        </w:rPr>
        <w:t xml:space="preserve"> </w:t>
      </w:r>
      <w:r w:rsidR="00F93B9C" w:rsidRPr="00F93B9C">
        <w:rPr>
          <w:rFonts w:eastAsiaTheme="minorHAnsi"/>
          <w:color w:val="363B3F"/>
          <w:kern w:val="0"/>
          <w:shd w:val="clear" w:color="auto" w:fill="FFFFFF"/>
          <w:lang w:eastAsia="en-US"/>
        </w:rPr>
        <w:t>investičn</w:t>
      </w:r>
      <w:r w:rsidR="00F93B9C">
        <w:rPr>
          <w:rFonts w:eastAsiaTheme="minorHAnsi"/>
          <w:color w:val="363B3F"/>
          <w:kern w:val="0"/>
          <w:shd w:val="clear" w:color="auto" w:fill="FFFFFF"/>
          <w:lang w:eastAsia="en-US"/>
        </w:rPr>
        <w:t>ých akcií</w:t>
      </w:r>
      <w:r w:rsidR="005A0B8B">
        <w:rPr>
          <w:rFonts w:eastAsiaTheme="minorHAnsi"/>
          <w:color w:val="363B3F"/>
          <w:kern w:val="0"/>
          <w:shd w:val="clear" w:color="auto" w:fill="FFFFFF"/>
          <w:lang w:eastAsia="en-US"/>
        </w:rPr>
        <w:t xml:space="preserve"> mesta</w:t>
      </w:r>
      <w:r w:rsidR="000722CD">
        <w:rPr>
          <w:rFonts w:eastAsiaTheme="minorHAnsi"/>
          <w:color w:val="363B3F"/>
          <w:kern w:val="0"/>
          <w:shd w:val="clear" w:color="auto" w:fill="FFFFFF"/>
          <w:lang w:eastAsia="en-US"/>
        </w:rPr>
        <w:t xml:space="preserve">  </w:t>
      </w:r>
      <w:r w:rsidR="00F93B9C">
        <w:rPr>
          <w:rFonts w:eastAsiaTheme="minorHAnsi"/>
          <w:color w:val="363B3F"/>
          <w:kern w:val="0"/>
          <w:shd w:val="clear" w:color="auto" w:fill="FFFFFF"/>
          <w:lang w:eastAsia="en-US"/>
        </w:rPr>
        <w:t xml:space="preserve">som v roku 2021 ukončila </w:t>
      </w:r>
      <w:r w:rsidR="000722CD">
        <w:rPr>
          <w:rFonts w:eastAsiaTheme="minorHAnsi"/>
          <w:color w:val="363B3F"/>
          <w:kern w:val="0"/>
          <w:shd w:val="clear" w:color="auto" w:fill="FFFFFF"/>
          <w:lang w:eastAsia="en-US"/>
        </w:rPr>
        <w:t>zatiaľ pri troch</w:t>
      </w:r>
      <w:r w:rsidR="00F93B9C">
        <w:rPr>
          <w:rFonts w:eastAsiaTheme="minorHAnsi"/>
          <w:color w:val="363B3F"/>
          <w:kern w:val="0"/>
          <w:shd w:val="clear" w:color="auto" w:fill="FFFFFF"/>
          <w:lang w:eastAsia="en-US"/>
        </w:rPr>
        <w:t xml:space="preserve"> akciách</w:t>
      </w:r>
      <w:r w:rsidR="000722CD">
        <w:rPr>
          <w:rFonts w:eastAsiaTheme="minorHAnsi"/>
          <w:color w:val="363B3F"/>
          <w:kern w:val="0"/>
          <w:shd w:val="clear" w:color="auto" w:fill="FFFFFF"/>
          <w:lang w:eastAsia="en-US"/>
        </w:rPr>
        <w:t xml:space="preserve">, štvrtá kontrola bude dokončená vo februári 2022. Stručne </w:t>
      </w:r>
      <w:r w:rsidR="00EB1176">
        <w:rPr>
          <w:rFonts w:eastAsiaTheme="minorHAnsi"/>
          <w:color w:val="363B3F"/>
          <w:kern w:val="0"/>
          <w:shd w:val="clear" w:color="auto" w:fill="FFFFFF"/>
          <w:lang w:eastAsia="en-US"/>
        </w:rPr>
        <w:t>uvádzam štruktúru financovania a</w:t>
      </w:r>
      <w:r w:rsidR="000722CD">
        <w:rPr>
          <w:rFonts w:eastAsiaTheme="minorHAnsi"/>
          <w:color w:val="363B3F"/>
          <w:kern w:val="0"/>
          <w:shd w:val="clear" w:color="auto" w:fill="FFFFFF"/>
          <w:lang w:eastAsia="en-US"/>
        </w:rPr>
        <w:t xml:space="preserve"> zistené nedostatky</w:t>
      </w:r>
      <w:r w:rsidR="00EB1176">
        <w:rPr>
          <w:rFonts w:eastAsiaTheme="minorHAnsi"/>
          <w:color w:val="363B3F"/>
          <w:kern w:val="0"/>
          <w:shd w:val="clear" w:color="auto" w:fill="FFFFFF"/>
          <w:lang w:eastAsia="en-US"/>
        </w:rPr>
        <w:t>:</w:t>
      </w:r>
    </w:p>
    <w:p w:rsidR="00F93B9C" w:rsidRDefault="00F93B9C" w:rsidP="00F93B9C">
      <w:pPr>
        <w:widowControl/>
        <w:tabs>
          <w:tab w:val="left" w:pos="495"/>
        </w:tabs>
        <w:suppressAutoHyphens w:val="0"/>
        <w:spacing w:after="160" w:line="276" w:lineRule="auto"/>
        <w:ind w:left="360"/>
        <w:contextualSpacing/>
        <w:jc w:val="both"/>
        <w:rPr>
          <w:rFonts w:eastAsiaTheme="minorHAnsi"/>
          <w:color w:val="363B3F"/>
          <w:kern w:val="0"/>
          <w:shd w:val="clear" w:color="auto" w:fill="FFFFFF"/>
          <w:lang w:eastAsia="en-US"/>
        </w:rPr>
      </w:pPr>
    </w:p>
    <w:p w:rsidR="00F93B9C" w:rsidRDefault="00F93B9C" w:rsidP="00F93B9C">
      <w:pPr>
        <w:widowControl/>
        <w:tabs>
          <w:tab w:val="left" w:pos="495"/>
        </w:tabs>
        <w:suppressAutoHyphens w:val="0"/>
        <w:spacing w:after="160" w:line="276" w:lineRule="auto"/>
        <w:ind w:left="360"/>
        <w:contextualSpacing/>
        <w:jc w:val="both"/>
        <w:rPr>
          <w:rFonts w:eastAsiaTheme="minorHAnsi"/>
          <w:color w:val="363B3F"/>
          <w:kern w:val="0"/>
          <w:shd w:val="clear" w:color="auto" w:fill="FFFFFF"/>
          <w:lang w:eastAsia="en-US"/>
        </w:rPr>
      </w:pPr>
      <w:r w:rsidRPr="00F93B9C">
        <w:rPr>
          <w:rFonts w:eastAsiaTheme="minorHAnsi"/>
          <w:color w:val="363B3F"/>
          <w:kern w:val="0"/>
          <w:shd w:val="clear" w:color="auto" w:fill="FFFFFF"/>
          <w:lang w:eastAsia="en-US"/>
        </w:rPr>
        <w:t xml:space="preserve"> Dobudovanie cyklistickej infraštruktúry v meste Spišská Belá – stavebné práce</w:t>
      </w:r>
    </w:p>
    <w:p w:rsidR="00F93B9C" w:rsidRPr="00F93B9C" w:rsidRDefault="00F93B9C" w:rsidP="00CA3C5E">
      <w:pPr>
        <w:widowControl/>
        <w:suppressAutoHyphens w:val="0"/>
        <w:spacing w:line="256" w:lineRule="auto"/>
        <w:jc w:val="both"/>
        <w:rPr>
          <w:rFonts w:eastAsiaTheme="minorHAnsi"/>
          <w:kern w:val="0"/>
          <w:lang w:eastAsia="en-US"/>
        </w:rPr>
      </w:pPr>
    </w:p>
    <w:tbl>
      <w:tblPr>
        <w:tblW w:w="8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060"/>
        <w:gridCol w:w="1920"/>
        <w:gridCol w:w="2000"/>
      </w:tblGrid>
      <w:tr w:rsidR="00F93B9C" w:rsidRPr="00F93B9C" w:rsidTr="00505ACC">
        <w:trPr>
          <w:trHeight w:val="76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9C" w:rsidRPr="00F93B9C" w:rsidRDefault="00F93B9C" w:rsidP="00F93B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93B9C">
              <w:rPr>
                <w:rFonts w:eastAsia="Times New Roman"/>
                <w:color w:val="000000"/>
                <w:kern w:val="0"/>
              </w:rPr>
              <w:t>Cyklistická infraštruktúra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C" w:rsidRPr="00F93B9C" w:rsidRDefault="00F93B9C" w:rsidP="00F93B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93B9C">
              <w:rPr>
                <w:rFonts w:eastAsia="Times New Roman"/>
                <w:color w:val="000000"/>
                <w:kern w:val="0"/>
              </w:rPr>
              <w:t>Žiadosť o príspevok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C" w:rsidRPr="00F93B9C" w:rsidRDefault="00F93B9C" w:rsidP="00F93B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93B9C">
              <w:rPr>
                <w:rFonts w:eastAsia="Times New Roman"/>
                <w:color w:val="000000"/>
                <w:kern w:val="0"/>
              </w:rPr>
              <w:t>Zmena po obstarávaní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B9C" w:rsidRPr="00F93B9C" w:rsidRDefault="00F93B9C" w:rsidP="00F93B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93B9C">
              <w:rPr>
                <w:rFonts w:eastAsia="Times New Roman"/>
                <w:color w:val="000000"/>
                <w:kern w:val="0"/>
              </w:rPr>
              <w:t>Konečný výsledok po VO a kontrolách</w:t>
            </w:r>
          </w:p>
        </w:tc>
      </w:tr>
      <w:tr w:rsidR="00F93B9C" w:rsidRPr="00F93B9C" w:rsidTr="00075B53">
        <w:trPr>
          <w:trHeight w:val="315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9C" w:rsidRPr="00F93B9C" w:rsidRDefault="00F93B9C" w:rsidP="00F93B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F93B9C">
              <w:rPr>
                <w:rFonts w:eastAsia="Times New Roman"/>
                <w:b/>
                <w:bCs/>
                <w:color w:val="000000"/>
                <w:kern w:val="0"/>
              </w:rPr>
              <w:t>Spolu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9C" w:rsidRPr="00F93B9C" w:rsidRDefault="00F93B9C" w:rsidP="00F93B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F93B9C">
              <w:rPr>
                <w:rFonts w:eastAsia="Times New Roman"/>
                <w:b/>
                <w:bCs/>
                <w:color w:val="000000"/>
                <w:kern w:val="0"/>
              </w:rPr>
              <w:t xml:space="preserve">45 878,10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9C" w:rsidRPr="00F93B9C" w:rsidRDefault="00F93B9C" w:rsidP="00F93B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F93B9C">
              <w:rPr>
                <w:rFonts w:eastAsia="Times New Roman"/>
                <w:b/>
                <w:bCs/>
                <w:color w:val="000000"/>
                <w:kern w:val="0"/>
              </w:rPr>
              <w:t xml:space="preserve">40 864,19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9C" w:rsidRPr="00F93B9C" w:rsidRDefault="00F93B9C" w:rsidP="00F93B9C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F93B9C">
              <w:rPr>
                <w:rFonts w:eastAsia="Times New Roman"/>
                <w:b/>
                <w:bCs/>
                <w:color w:val="000000"/>
                <w:kern w:val="0"/>
              </w:rPr>
              <w:t>41 264,19</w:t>
            </w:r>
          </w:p>
        </w:tc>
      </w:tr>
      <w:tr w:rsidR="00F93B9C" w:rsidRPr="00F93B9C" w:rsidTr="00075B5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9C" w:rsidRPr="00F93B9C" w:rsidRDefault="00F93B9C" w:rsidP="00F93B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93B9C">
              <w:rPr>
                <w:rFonts w:eastAsia="Times New Roman"/>
                <w:color w:val="000000"/>
                <w:kern w:val="0"/>
              </w:rPr>
              <w:t>Dotácia z RFRR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9C" w:rsidRPr="00F93B9C" w:rsidRDefault="00F93B9C" w:rsidP="00F93B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93B9C">
              <w:rPr>
                <w:rFonts w:eastAsia="Times New Roman"/>
                <w:color w:val="000000"/>
                <w:kern w:val="0"/>
              </w:rPr>
              <w:t>38 996,38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9C" w:rsidRPr="00F93B9C" w:rsidRDefault="00F93B9C" w:rsidP="00F93B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93B9C">
              <w:rPr>
                <w:rFonts w:eastAsia="Times New Roman"/>
                <w:color w:val="000000"/>
                <w:kern w:val="0"/>
              </w:rPr>
              <w:t>34 734,56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9C" w:rsidRPr="00F93B9C" w:rsidRDefault="00F93B9C" w:rsidP="00F93B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93B9C">
              <w:rPr>
                <w:rFonts w:eastAsia="Times New Roman"/>
                <w:color w:val="000000"/>
                <w:kern w:val="0"/>
              </w:rPr>
              <w:t>34 531,20</w:t>
            </w:r>
          </w:p>
        </w:tc>
      </w:tr>
      <w:tr w:rsidR="00F93B9C" w:rsidRPr="00F93B9C" w:rsidTr="00075B5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9C" w:rsidRPr="00F93B9C" w:rsidRDefault="00F93B9C" w:rsidP="00F93B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93B9C">
              <w:rPr>
                <w:rFonts w:eastAsia="Times New Roman"/>
                <w:color w:val="000000"/>
                <w:kern w:val="0"/>
              </w:rPr>
              <w:t>Dotácia ŠR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9C" w:rsidRPr="00F93B9C" w:rsidRDefault="00F93B9C" w:rsidP="00F93B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93B9C">
              <w:rPr>
                <w:rFonts w:eastAsia="Times New Roman"/>
                <w:color w:val="000000"/>
                <w:kern w:val="0"/>
              </w:rPr>
              <w:t>4 587,81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9C" w:rsidRPr="00F93B9C" w:rsidRDefault="00F93B9C" w:rsidP="00F93B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93B9C">
              <w:rPr>
                <w:rFonts w:eastAsia="Times New Roman"/>
                <w:color w:val="000000"/>
                <w:kern w:val="0"/>
              </w:rPr>
              <w:t>4 086,42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9C" w:rsidRPr="00F93B9C" w:rsidRDefault="00F93B9C" w:rsidP="00F93B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93B9C">
              <w:rPr>
                <w:rFonts w:eastAsia="Times New Roman"/>
                <w:color w:val="000000"/>
                <w:kern w:val="0"/>
              </w:rPr>
              <w:t>4 062,50</w:t>
            </w:r>
          </w:p>
        </w:tc>
      </w:tr>
      <w:tr w:rsidR="00F93B9C" w:rsidRPr="00F93B9C" w:rsidTr="00075B53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9C" w:rsidRPr="00F93B9C" w:rsidRDefault="00F93B9C" w:rsidP="00F93B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93B9C">
              <w:rPr>
                <w:rFonts w:eastAsia="Times New Roman"/>
                <w:color w:val="000000"/>
                <w:kern w:val="0"/>
              </w:rPr>
              <w:t>Prostriedky mesta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B9C" w:rsidRPr="00F93B9C" w:rsidRDefault="00F93B9C" w:rsidP="00F93B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93B9C">
              <w:rPr>
                <w:rFonts w:eastAsia="Times New Roman"/>
                <w:color w:val="000000"/>
                <w:kern w:val="0"/>
              </w:rPr>
              <w:t>2 293,91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9C" w:rsidRPr="00F93B9C" w:rsidRDefault="00F93B9C" w:rsidP="00F93B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93B9C">
              <w:rPr>
                <w:rFonts w:eastAsia="Times New Roman"/>
                <w:color w:val="000000"/>
                <w:kern w:val="0"/>
              </w:rPr>
              <w:t>2 043,21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3B9C" w:rsidRPr="00F93B9C" w:rsidRDefault="00F93B9C" w:rsidP="00F93B9C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F93B9C">
              <w:rPr>
                <w:rFonts w:eastAsia="Times New Roman"/>
                <w:color w:val="000000"/>
                <w:kern w:val="0"/>
              </w:rPr>
              <w:t>2 670,49</w:t>
            </w:r>
          </w:p>
        </w:tc>
      </w:tr>
    </w:tbl>
    <w:p w:rsidR="00EB1176" w:rsidRDefault="00EB1176" w:rsidP="00F93B9C">
      <w:pPr>
        <w:widowControl/>
        <w:suppressAutoHyphens w:val="0"/>
        <w:spacing w:after="160" w:line="256" w:lineRule="auto"/>
        <w:jc w:val="both"/>
        <w:rPr>
          <w:rFonts w:eastAsiaTheme="minorHAnsi"/>
          <w:kern w:val="0"/>
          <w:lang w:eastAsia="en-US"/>
        </w:rPr>
      </w:pPr>
    </w:p>
    <w:p w:rsidR="00F93B9C" w:rsidRPr="00F93B9C" w:rsidRDefault="00F93B9C" w:rsidP="00F93B9C">
      <w:pPr>
        <w:widowControl/>
        <w:suppressAutoHyphens w:val="0"/>
        <w:spacing w:after="160" w:line="256" w:lineRule="auto"/>
        <w:jc w:val="both"/>
        <w:rPr>
          <w:rFonts w:eastAsiaTheme="minorHAnsi"/>
          <w:kern w:val="0"/>
          <w:lang w:eastAsia="en-US"/>
        </w:rPr>
      </w:pPr>
      <w:r w:rsidRPr="00F93B9C">
        <w:rPr>
          <w:rFonts w:eastAsiaTheme="minorHAnsi"/>
          <w:kern w:val="0"/>
          <w:lang w:eastAsia="en-US"/>
        </w:rPr>
        <w:t xml:space="preserve">     Kontrolou bolo zistené, že mesto  porušilo ustanovenie § 25 ods. 6 zákona č. 431/2002 Z. z. Zákona o účtovníctve  v znení neskorších predpisov tým, že do obstarávacej ceny zaraďovaného majetku – Dobudovanie cyklistickej infraštruktúry v meste Spišská Belá nezapočítalo náklady vynaložené na projektovú dokumentáciu vo výške 400,00 eur</w:t>
      </w:r>
      <w:r w:rsidR="00505ACC">
        <w:rPr>
          <w:rFonts w:eastAsiaTheme="minorHAnsi"/>
          <w:kern w:val="0"/>
          <w:lang w:eastAsia="en-US"/>
        </w:rPr>
        <w:t xml:space="preserve">. </w:t>
      </w:r>
      <w:r w:rsidRPr="00F93B9C">
        <w:rPr>
          <w:rFonts w:eastAsiaTheme="minorHAnsi"/>
          <w:kern w:val="0"/>
          <w:lang w:eastAsia="en-US"/>
        </w:rPr>
        <w:t xml:space="preserve">Do dňa ukončenia kontroly bol tento nedostatok odstránený. </w:t>
      </w:r>
    </w:p>
    <w:p w:rsidR="00F93B9C" w:rsidRPr="00F93B9C" w:rsidRDefault="00185118" w:rsidP="00F93B9C">
      <w:pPr>
        <w:widowControl/>
        <w:tabs>
          <w:tab w:val="left" w:pos="495"/>
        </w:tabs>
        <w:suppressAutoHyphens w:val="0"/>
        <w:spacing w:after="160" w:line="276" w:lineRule="auto"/>
        <w:ind w:left="360"/>
        <w:contextualSpacing/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Mesto prijalo opatrenie na odstránenie nedostatkov – skontrolovať správnosť účtovania pri</w:t>
      </w:r>
    </w:p>
    <w:p w:rsidR="00425766" w:rsidRDefault="00185118" w:rsidP="00425766">
      <w:pPr>
        <w:tabs>
          <w:tab w:val="left" w:pos="495"/>
        </w:tabs>
        <w:autoSpaceDN w:val="0"/>
        <w:jc w:val="both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>ostatných investičných akciách.</w:t>
      </w:r>
    </w:p>
    <w:p w:rsidR="00185118" w:rsidRDefault="00185118" w:rsidP="00425766">
      <w:pPr>
        <w:tabs>
          <w:tab w:val="left" w:pos="495"/>
        </w:tabs>
        <w:autoSpaceDN w:val="0"/>
        <w:jc w:val="both"/>
        <w:rPr>
          <w:rFonts w:eastAsia="Andale Sans UI" w:cs="Tahoma"/>
          <w:kern w:val="3"/>
          <w:lang w:eastAsia="ja-JP" w:bidi="fa-IR"/>
        </w:rPr>
      </w:pPr>
    </w:p>
    <w:p w:rsidR="00EB1176" w:rsidRDefault="00EB1176" w:rsidP="00425766">
      <w:pPr>
        <w:tabs>
          <w:tab w:val="left" w:pos="495"/>
        </w:tabs>
        <w:autoSpaceDN w:val="0"/>
        <w:jc w:val="both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kern w:val="3"/>
          <w:lang w:eastAsia="ja-JP" w:bidi="fa-IR"/>
        </w:rPr>
        <w:t xml:space="preserve">        Komunitné centrum v Spišskej Belej</w:t>
      </w:r>
    </w:p>
    <w:p w:rsidR="00EB1176" w:rsidRPr="00EB1176" w:rsidRDefault="00EB1176" w:rsidP="00CA3C5E">
      <w:pPr>
        <w:widowControl/>
        <w:suppressAutoHyphens w:val="0"/>
        <w:spacing w:line="256" w:lineRule="auto"/>
        <w:jc w:val="both"/>
        <w:rPr>
          <w:rFonts w:eastAsiaTheme="minorHAnsi"/>
          <w:kern w:val="0"/>
          <w:lang w:eastAsia="en-US"/>
        </w:rPr>
      </w:pPr>
    </w:p>
    <w:tbl>
      <w:tblPr>
        <w:tblW w:w="90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559"/>
        <w:gridCol w:w="1559"/>
        <w:gridCol w:w="1559"/>
        <w:gridCol w:w="1418"/>
        <w:gridCol w:w="1418"/>
      </w:tblGrid>
      <w:tr w:rsidR="00EB1176" w:rsidRPr="00EB1176" w:rsidTr="00075B53">
        <w:trPr>
          <w:trHeight w:val="95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176" w:rsidRPr="00EB1176" w:rsidRDefault="00EB1176" w:rsidP="00EB117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EB1176">
              <w:rPr>
                <w:rFonts w:eastAsia="Times New Roman"/>
                <w:color w:val="000000"/>
                <w:kern w:val="0"/>
              </w:rPr>
              <w:t>Komunitné centrum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176" w:rsidRPr="00EB1176" w:rsidRDefault="00EB1176" w:rsidP="00EB117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EB1176">
              <w:rPr>
                <w:rFonts w:eastAsia="Times New Roman"/>
                <w:color w:val="000000"/>
                <w:kern w:val="0"/>
              </w:rPr>
              <w:t xml:space="preserve">Zmluva o NFP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176" w:rsidRPr="00EB1176" w:rsidRDefault="00EB1176" w:rsidP="00EB117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EB1176">
              <w:rPr>
                <w:rFonts w:eastAsia="Times New Roman"/>
                <w:color w:val="000000"/>
                <w:kern w:val="0"/>
              </w:rPr>
              <w:t>Po verejnom obstarávaní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1176" w:rsidRPr="00EB1176" w:rsidRDefault="00EB1176" w:rsidP="00EB117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EB1176">
              <w:rPr>
                <w:rFonts w:eastAsia="Times New Roman"/>
                <w:color w:val="000000"/>
                <w:kern w:val="0"/>
              </w:rPr>
              <w:t>Navýšenie ceny (základy)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76" w:rsidRPr="00EB1176" w:rsidRDefault="00EB1176" w:rsidP="00EB117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EB1176">
              <w:rPr>
                <w:rFonts w:eastAsia="Times New Roman"/>
                <w:color w:val="000000"/>
                <w:kern w:val="0"/>
              </w:rPr>
              <w:t xml:space="preserve">Konečný stav projektu      </w:t>
            </w:r>
          </w:p>
          <w:p w:rsidR="00EB1176" w:rsidRPr="00EB1176" w:rsidRDefault="00EB1176" w:rsidP="00EB117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EB1176">
              <w:rPr>
                <w:rFonts w:eastAsia="Times New Roman"/>
                <w:color w:val="000000"/>
                <w:kern w:val="0"/>
              </w:rPr>
              <w:t>po VO,  fakturácii  a kontrolách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76" w:rsidRPr="00EB1176" w:rsidRDefault="00EB1176" w:rsidP="00EB117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EB1176">
              <w:rPr>
                <w:rFonts w:eastAsia="Times New Roman"/>
                <w:color w:val="000000"/>
                <w:kern w:val="0"/>
              </w:rPr>
              <w:t xml:space="preserve">Celková cena majetku </w:t>
            </w:r>
          </w:p>
        </w:tc>
      </w:tr>
      <w:tr w:rsidR="00EB1176" w:rsidRPr="00EB1176" w:rsidTr="00075B53">
        <w:trPr>
          <w:trHeight w:val="558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176" w:rsidRPr="00EB1176" w:rsidRDefault="00EB1176" w:rsidP="00EB117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EB1176">
              <w:rPr>
                <w:rFonts w:eastAsia="Times New Roman"/>
                <w:b/>
                <w:bCs/>
                <w:color w:val="000000"/>
                <w:kern w:val="0"/>
              </w:rPr>
              <w:t>Spolu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176" w:rsidRPr="00EB1176" w:rsidRDefault="00EB1176" w:rsidP="00EB117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EB1176">
              <w:rPr>
                <w:rFonts w:eastAsiaTheme="minorHAnsi"/>
                <w:b/>
                <w:kern w:val="0"/>
                <w:lang w:eastAsia="en-US"/>
              </w:rPr>
              <w:t xml:space="preserve">349 923,29 </w:t>
            </w:r>
            <w:r w:rsidRPr="00EB1176">
              <w:rPr>
                <w:rFonts w:eastAsia="Times New Roman"/>
                <w:b/>
                <w:bCs/>
                <w:color w:val="000000"/>
                <w:kern w:val="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76" w:rsidRPr="00EB1176" w:rsidRDefault="00EB1176" w:rsidP="00EB117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EB1176">
              <w:rPr>
                <w:rFonts w:eastAsia="Times New Roman"/>
                <w:b/>
                <w:bCs/>
                <w:color w:val="000000"/>
                <w:kern w:val="0"/>
              </w:rPr>
              <w:t>341 988,61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76" w:rsidRPr="00EB1176" w:rsidRDefault="00EB1176" w:rsidP="00EB117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EB1176">
              <w:rPr>
                <w:rFonts w:eastAsia="Times New Roman"/>
                <w:b/>
                <w:bCs/>
                <w:color w:val="000000"/>
                <w:kern w:val="0"/>
              </w:rPr>
              <w:t>385 928,00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76" w:rsidRPr="00EB1176" w:rsidRDefault="00EB1176" w:rsidP="00EB117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EB1176">
              <w:rPr>
                <w:rFonts w:eastAsia="Times New Roman"/>
                <w:b/>
                <w:bCs/>
                <w:color w:val="000000"/>
                <w:kern w:val="0"/>
              </w:rPr>
              <w:t>379 023,00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76" w:rsidRPr="00EB1176" w:rsidRDefault="00EB1176" w:rsidP="00EB1176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color w:val="000000"/>
                <w:kern w:val="0"/>
              </w:rPr>
            </w:pPr>
            <w:r w:rsidRPr="00EB1176">
              <w:rPr>
                <w:rFonts w:eastAsia="Times New Roman"/>
                <w:b/>
                <w:bCs/>
                <w:color w:val="000000"/>
                <w:kern w:val="0"/>
              </w:rPr>
              <w:t>400 420,00</w:t>
            </w:r>
          </w:p>
        </w:tc>
      </w:tr>
      <w:tr w:rsidR="00EB1176" w:rsidRPr="00EB1176" w:rsidTr="00075B53">
        <w:trPr>
          <w:trHeight w:val="558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176" w:rsidRPr="00EB1176" w:rsidRDefault="00EB1176" w:rsidP="00EB117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EB1176">
              <w:rPr>
                <w:rFonts w:eastAsia="Times New Roman"/>
                <w:color w:val="000000"/>
                <w:kern w:val="0"/>
              </w:rPr>
              <w:t xml:space="preserve">Dotácia z EÚ (85 %)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176" w:rsidRPr="00EB1176" w:rsidRDefault="00EB1176" w:rsidP="00EB117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EB1176">
              <w:rPr>
                <w:rFonts w:eastAsia="Times New Roman"/>
                <w:color w:val="000000"/>
                <w:kern w:val="0"/>
              </w:rPr>
              <w:t>297 434,80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76" w:rsidRPr="00EB1176" w:rsidRDefault="00EB1176" w:rsidP="00EB117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EB1176">
              <w:rPr>
                <w:rFonts w:eastAsia="Times New Roman"/>
                <w:color w:val="000000"/>
                <w:kern w:val="0"/>
              </w:rPr>
              <w:t>290 690,30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76" w:rsidRPr="00EB1176" w:rsidRDefault="00EB1176" w:rsidP="00EB117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EB1176">
              <w:rPr>
                <w:rFonts w:eastAsia="Times New Roman"/>
                <w:color w:val="000000"/>
                <w:kern w:val="0"/>
              </w:rPr>
              <w:t>287 130,83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76" w:rsidRPr="00EB1176" w:rsidRDefault="00EB1176" w:rsidP="00EB117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EB1176">
              <w:rPr>
                <w:rFonts w:eastAsia="Times New Roman"/>
                <w:color w:val="000000"/>
                <w:kern w:val="0"/>
              </w:rPr>
              <w:t>281 261,59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76" w:rsidRPr="00EB1176" w:rsidRDefault="00EB1176" w:rsidP="00EB117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EB1176">
              <w:rPr>
                <w:rFonts w:eastAsia="Times New Roman"/>
                <w:color w:val="000000"/>
                <w:kern w:val="0"/>
              </w:rPr>
              <w:t>281 261,59</w:t>
            </w:r>
          </w:p>
        </w:tc>
      </w:tr>
      <w:tr w:rsidR="00EB1176" w:rsidRPr="00EB1176" w:rsidTr="00075B53">
        <w:trPr>
          <w:trHeight w:val="558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76" w:rsidRPr="00EB1176" w:rsidRDefault="00EB1176" w:rsidP="00EB117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EB1176">
              <w:rPr>
                <w:rFonts w:eastAsia="Times New Roman"/>
                <w:color w:val="000000"/>
                <w:kern w:val="0"/>
              </w:rPr>
              <w:t xml:space="preserve">Dotácia ŠR </w:t>
            </w:r>
          </w:p>
          <w:p w:rsidR="00EB1176" w:rsidRPr="00EB1176" w:rsidRDefault="00EB1176" w:rsidP="00EB117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EB1176">
              <w:rPr>
                <w:rFonts w:eastAsia="Times New Roman"/>
                <w:color w:val="000000"/>
                <w:kern w:val="0"/>
              </w:rPr>
              <w:t>(10 %)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76" w:rsidRPr="00EB1176" w:rsidRDefault="00EB1176" w:rsidP="00EB1176">
            <w:pPr>
              <w:widowControl/>
              <w:suppressAutoHyphens w:val="0"/>
              <w:jc w:val="center"/>
              <w:rPr>
                <w:rFonts w:eastAsiaTheme="minorHAnsi"/>
                <w:kern w:val="0"/>
                <w:lang w:eastAsia="en-US"/>
              </w:rPr>
            </w:pPr>
            <w:r w:rsidRPr="00EB1176">
              <w:rPr>
                <w:rFonts w:eastAsiaTheme="minorHAnsi"/>
                <w:kern w:val="0"/>
                <w:lang w:eastAsia="en-US"/>
              </w:rPr>
              <w:t>34 992,33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76" w:rsidRPr="00EB1176" w:rsidRDefault="00EB1176" w:rsidP="00EB117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EB1176">
              <w:rPr>
                <w:rFonts w:eastAsia="Times New Roman"/>
                <w:color w:val="000000"/>
                <w:kern w:val="0"/>
              </w:rPr>
              <w:t>34 198,90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76" w:rsidRPr="00EB1176" w:rsidRDefault="00EB1176" w:rsidP="00EB117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EB1176">
              <w:rPr>
                <w:rFonts w:eastAsia="Times New Roman"/>
                <w:color w:val="000000"/>
                <w:kern w:val="0"/>
              </w:rPr>
              <w:t>33 780,10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76" w:rsidRPr="00EB1176" w:rsidRDefault="00EB1176" w:rsidP="00EB117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EB1176">
              <w:rPr>
                <w:rFonts w:eastAsia="Times New Roman"/>
                <w:color w:val="000000"/>
                <w:kern w:val="0"/>
              </w:rPr>
              <w:t>33 089,59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76" w:rsidRPr="00EB1176" w:rsidRDefault="00EB1176" w:rsidP="00EB117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EB1176">
              <w:rPr>
                <w:rFonts w:eastAsia="Times New Roman"/>
                <w:color w:val="000000"/>
                <w:kern w:val="0"/>
              </w:rPr>
              <w:t>33 089,59</w:t>
            </w:r>
          </w:p>
        </w:tc>
      </w:tr>
      <w:tr w:rsidR="00EB1176" w:rsidRPr="00EB1176" w:rsidTr="00075B53">
        <w:trPr>
          <w:trHeight w:val="558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176" w:rsidRPr="00EB1176" w:rsidRDefault="00EB1176" w:rsidP="00EB117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EB1176">
              <w:rPr>
                <w:rFonts w:eastAsia="Times New Roman"/>
                <w:color w:val="000000"/>
                <w:kern w:val="0"/>
              </w:rPr>
              <w:t xml:space="preserve">Prostriedky mesta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1176" w:rsidRPr="00EB1176" w:rsidRDefault="00EB1176" w:rsidP="00EB117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EB1176">
              <w:rPr>
                <w:rFonts w:eastAsiaTheme="minorHAnsi"/>
                <w:kern w:val="0"/>
                <w:lang w:eastAsia="en-US"/>
              </w:rPr>
              <w:t xml:space="preserve">17 496,16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76" w:rsidRPr="00EB1176" w:rsidRDefault="00EB1176" w:rsidP="00EB117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EB1176">
              <w:rPr>
                <w:rFonts w:eastAsia="Times New Roman"/>
                <w:color w:val="000000"/>
                <w:kern w:val="0"/>
              </w:rPr>
              <w:t>17 099,41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176" w:rsidRPr="00EB1176" w:rsidRDefault="00EB1176" w:rsidP="00EB117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EB1176">
              <w:rPr>
                <w:rFonts w:eastAsia="Times New Roman"/>
                <w:color w:val="000000"/>
                <w:kern w:val="0"/>
              </w:rPr>
              <w:t>65 017,07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76" w:rsidRPr="00EB1176" w:rsidRDefault="00EB1176" w:rsidP="00EB117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EB1176">
              <w:rPr>
                <w:rFonts w:eastAsia="Times New Roman"/>
                <w:color w:val="000000"/>
                <w:kern w:val="0"/>
              </w:rPr>
              <w:t>64 671,82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1176" w:rsidRPr="00EB1176" w:rsidRDefault="00EB1176" w:rsidP="00EB1176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</w:rPr>
            </w:pPr>
            <w:r w:rsidRPr="00EB1176">
              <w:rPr>
                <w:rFonts w:eastAsia="Times New Roman"/>
                <w:color w:val="000000"/>
                <w:kern w:val="0"/>
              </w:rPr>
              <w:t>86 068,82</w:t>
            </w:r>
          </w:p>
        </w:tc>
      </w:tr>
    </w:tbl>
    <w:p w:rsidR="00EB1176" w:rsidRPr="00EB1176" w:rsidRDefault="00EB1176" w:rsidP="00EB1176">
      <w:pPr>
        <w:widowControl/>
        <w:suppressAutoHyphens w:val="0"/>
        <w:spacing w:after="160" w:line="256" w:lineRule="auto"/>
        <w:jc w:val="both"/>
        <w:rPr>
          <w:rFonts w:eastAsiaTheme="minorHAnsi"/>
          <w:kern w:val="0"/>
          <w:lang w:eastAsia="en-US"/>
        </w:rPr>
      </w:pPr>
      <w:r w:rsidRPr="00EB1176">
        <w:rPr>
          <w:rFonts w:eastAsiaTheme="minorHAnsi"/>
          <w:kern w:val="0"/>
          <w:lang w:eastAsia="en-US"/>
        </w:rPr>
        <w:t xml:space="preserve">   </w:t>
      </w:r>
    </w:p>
    <w:p w:rsidR="00EB1176" w:rsidRDefault="00EB1176" w:rsidP="00EB1176">
      <w:pPr>
        <w:jc w:val="both"/>
        <w:rPr>
          <w:rFonts w:eastAsiaTheme="minorHAnsi"/>
          <w:kern w:val="0"/>
          <w:lang w:eastAsia="en-US"/>
        </w:rPr>
      </w:pPr>
      <w:r>
        <w:t xml:space="preserve">       </w:t>
      </w:r>
      <w:r w:rsidRPr="00EB1176">
        <w:rPr>
          <w:rFonts w:eastAsiaTheme="minorHAnsi"/>
          <w:kern w:val="0"/>
          <w:lang w:eastAsia="en-US"/>
        </w:rPr>
        <w:t xml:space="preserve">Kontrolou bolo zistené, že </w:t>
      </w:r>
      <w:r>
        <w:rPr>
          <w:rFonts w:eastAsiaTheme="minorHAnsi"/>
          <w:kern w:val="0"/>
          <w:lang w:eastAsia="en-US"/>
        </w:rPr>
        <w:t xml:space="preserve">výstavba okapového chodníka v hodnote 1 231,21 eur, </w:t>
      </w:r>
      <w:r w:rsidRPr="00EB1176">
        <w:rPr>
          <w:rFonts w:eastAsiaTheme="minorHAnsi"/>
          <w:kern w:val="0"/>
          <w:lang w:eastAsia="en-US"/>
        </w:rPr>
        <w:t xml:space="preserve"> bol</w:t>
      </w:r>
      <w:r w:rsidR="00505ACC">
        <w:rPr>
          <w:rFonts w:eastAsiaTheme="minorHAnsi"/>
          <w:kern w:val="0"/>
          <w:lang w:eastAsia="en-US"/>
        </w:rPr>
        <w:t>a</w:t>
      </w:r>
      <w:r w:rsidRPr="00EB1176">
        <w:rPr>
          <w:rFonts w:eastAsiaTheme="minorHAnsi"/>
          <w:kern w:val="0"/>
          <w:lang w:eastAsia="en-US"/>
        </w:rPr>
        <w:t xml:space="preserve"> uroben</w:t>
      </w:r>
      <w:r w:rsidR="00505ACC">
        <w:rPr>
          <w:rFonts w:eastAsiaTheme="minorHAnsi"/>
          <w:kern w:val="0"/>
          <w:lang w:eastAsia="en-US"/>
        </w:rPr>
        <w:t>á</w:t>
      </w:r>
      <w:r w:rsidRPr="00EB1176">
        <w:rPr>
          <w:rFonts w:eastAsiaTheme="minorHAnsi"/>
          <w:kern w:val="0"/>
          <w:lang w:eastAsia="en-US"/>
        </w:rPr>
        <w:t xml:space="preserve"> bez objednávky. </w:t>
      </w:r>
      <w:r>
        <w:t xml:space="preserve"> Vybudoval ho  </w:t>
      </w:r>
      <w:r w:rsidRPr="00EB1176">
        <w:rPr>
          <w:rFonts w:eastAsiaTheme="minorHAnsi"/>
          <w:kern w:val="0"/>
          <w:lang w:eastAsia="en-US"/>
        </w:rPr>
        <w:t xml:space="preserve">Mestský podnik Spišská Belá s. r. o. </w:t>
      </w:r>
      <w:r>
        <w:rPr>
          <w:rFonts w:eastAsiaTheme="minorHAnsi"/>
          <w:kern w:val="0"/>
          <w:lang w:eastAsia="en-US"/>
        </w:rPr>
        <w:t>z dôvo</w:t>
      </w:r>
      <w:r w:rsidRPr="00EB1176">
        <w:rPr>
          <w:rFonts w:eastAsiaTheme="minorHAnsi"/>
          <w:kern w:val="0"/>
          <w:lang w:eastAsia="en-US"/>
        </w:rPr>
        <w:t>du ochrany stavby pred vlhkom, po dohode s technickým dozorom stavby</w:t>
      </w:r>
      <w:r>
        <w:rPr>
          <w:rFonts w:eastAsiaTheme="minorHAnsi"/>
          <w:kern w:val="0"/>
          <w:lang w:eastAsia="en-US"/>
        </w:rPr>
        <w:t xml:space="preserve">. </w:t>
      </w:r>
      <w:r w:rsidRPr="00EB1176">
        <w:rPr>
          <w:rFonts w:eastAsiaTheme="minorHAnsi"/>
          <w:kern w:val="0"/>
          <w:lang w:eastAsia="en-US"/>
        </w:rPr>
        <w:t xml:space="preserve"> Nedostatok – chýbajúca objednávka, bol zo strany mesta odôvodnený tým, že sa ešte čakalo na prípadné drobné nedostatky, aby sa vyspravili v rámci údržby. Objednávka zo strany mesta bude  vystavená, aby dodávateľ mohol fakturovať.</w:t>
      </w:r>
    </w:p>
    <w:p w:rsidR="00CA3C5E" w:rsidRPr="00EB1176" w:rsidRDefault="00CA3C5E" w:rsidP="00EB1176">
      <w:pPr>
        <w:jc w:val="both"/>
        <w:rPr>
          <w:rFonts w:eastAsiaTheme="minorHAnsi"/>
          <w:kern w:val="0"/>
          <w:lang w:eastAsia="en-US"/>
        </w:rPr>
      </w:pPr>
    </w:p>
    <w:p w:rsidR="00EB1176" w:rsidRDefault="00EB1176" w:rsidP="00425766">
      <w:pPr>
        <w:jc w:val="both"/>
      </w:pPr>
    </w:p>
    <w:p w:rsidR="00EB1176" w:rsidRDefault="00CA3C5E" w:rsidP="00EB1176">
      <w:r>
        <w:lastRenderedPageBreak/>
        <w:t xml:space="preserve">     </w:t>
      </w:r>
      <w:r w:rsidR="00EB1176">
        <w:t xml:space="preserve">Stavebná úprava </w:t>
      </w:r>
      <w:r w:rsidR="00541D14">
        <w:t xml:space="preserve">miestnej komunikácie </w:t>
      </w:r>
      <w:r w:rsidR="00EB1176">
        <w:t xml:space="preserve">na Zimnej ulici </w:t>
      </w:r>
      <w:r w:rsidR="00541D14">
        <w:t>v Spišskej Belej</w:t>
      </w:r>
    </w:p>
    <w:p w:rsidR="00932D9B" w:rsidRDefault="00932D9B" w:rsidP="00EB1176"/>
    <w:p w:rsidR="009C5753" w:rsidRDefault="00CC617D" w:rsidP="00996E6A">
      <w:pPr>
        <w:jc w:val="both"/>
        <w:rPr>
          <w:rFonts w:eastAsia="Calibri"/>
          <w:kern w:val="0"/>
        </w:rPr>
      </w:pPr>
      <w:r>
        <w:rPr>
          <w:rFonts w:eastAsia="Calibri"/>
          <w:kern w:val="0"/>
        </w:rPr>
        <w:t xml:space="preserve">   </w:t>
      </w:r>
      <w:r w:rsidR="00996E6A">
        <w:t xml:space="preserve">  Mesto financovalo celú investičnú akciu z vlastných prostriedkov. Celkové náklady boli vo výške 74 452,89 eur. Mesto</w:t>
      </w:r>
      <w:r w:rsidR="00541D14">
        <w:t xml:space="preserve"> </w:t>
      </w:r>
      <w:r w:rsidR="00996E6A">
        <w:t xml:space="preserve">nezapočítalo </w:t>
      </w:r>
      <w:r w:rsidR="00541D14">
        <w:t xml:space="preserve">do </w:t>
      </w:r>
      <w:r w:rsidR="00996E6A">
        <w:t xml:space="preserve">obstarávacej ceny náklady na projektovú dokumentáciu, v čase kontroly nedostatok odstránilo. Mesto pripravuje </w:t>
      </w:r>
      <w:r w:rsidR="00541D14">
        <w:t xml:space="preserve">pravidlá </w:t>
      </w:r>
      <w:r w:rsidR="00996E6A">
        <w:t>postup</w:t>
      </w:r>
      <w:r w:rsidR="00541D14">
        <w:t>u</w:t>
      </w:r>
      <w:r w:rsidR="00996E6A">
        <w:t xml:space="preserve"> pri zaraďovaní majetku do užívania, aby nedochádzalo k posunom, či rozdielom.</w:t>
      </w:r>
    </w:p>
    <w:p w:rsidR="009C5753" w:rsidRDefault="009C5753" w:rsidP="00CC617D">
      <w:pPr>
        <w:jc w:val="both"/>
        <w:rPr>
          <w:rFonts w:eastAsia="Calibri"/>
          <w:kern w:val="0"/>
        </w:rPr>
      </w:pPr>
    </w:p>
    <w:p w:rsidR="009C5753" w:rsidRDefault="009C5753" w:rsidP="00BB316B">
      <w:pPr>
        <w:pStyle w:val="Normlnywebov"/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 xml:space="preserve">     Kontrola investičnej akcie Denné centrum Strážky bude dokončená a správa predložená na najbližšom zasadnutí mestského zastupiteľstva. </w:t>
      </w:r>
      <w:r w:rsidR="00BB316B">
        <w:rPr>
          <w:rFonts w:eastAsia="Calibri"/>
        </w:rPr>
        <w:t>Dve naplánované finančné kontroly</w:t>
      </w:r>
      <w:r>
        <w:rPr>
          <w:rFonts w:eastAsia="Calibri"/>
        </w:rPr>
        <w:t xml:space="preserve"> neboli vykonané  </w:t>
      </w:r>
      <w:r w:rsidR="00BB316B">
        <w:rPr>
          <w:rFonts w:eastAsia="Calibri"/>
        </w:rPr>
        <w:t>(</w:t>
      </w:r>
      <w:r>
        <w:rPr>
          <w:rFonts w:eastAsia="Calibri"/>
        </w:rPr>
        <w:t>stav, evidenci</w:t>
      </w:r>
      <w:r w:rsidR="00BB316B">
        <w:rPr>
          <w:rFonts w:eastAsia="Calibri"/>
        </w:rPr>
        <w:t>a</w:t>
      </w:r>
      <w:r>
        <w:rPr>
          <w:rFonts w:eastAsia="Calibri"/>
        </w:rPr>
        <w:t xml:space="preserve"> a vymáhani</w:t>
      </w:r>
      <w:r w:rsidR="00BB316B">
        <w:rPr>
          <w:rFonts w:eastAsia="Calibri"/>
        </w:rPr>
        <w:t>e</w:t>
      </w:r>
      <w:r>
        <w:rPr>
          <w:rFonts w:eastAsia="Calibri"/>
        </w:rPr>
        <w:t xml:space="preserve"> pohľadávok na nájomnom za prenajaté pozemky mesta a kontrola hospodárenia s finančnými prostriedkami a majetkom mesta – Základná škola J. M. Petzvala</w:t>
      </w:r>
      <w:r w:rsidR="00BB316B">
        <w:rPr>
          <w:rFonts w:eastAsia="Calibri"/>
        </w:rPr>
        <w:t>)</w:t>
      </w:r>
      <w:r>
        <w:rPr>
          <w:rFonts w:eastAsia="Calibri"/>
        </w:rPr>
        <w:t>.</w:t>
      </w:r>
      <w:r w:rsidR="00BB316B">
        <w:rPr>
          <w:rFonts w:eastAsia="Calibri"/>
        </w:rPr>
        <w:t xml:space="preserve"> Tieto budú, </w:t>
      </w:r>
      <w:r>
        <w:rPr>
          <w:rFonts w:eastAsia="Calibri"/>
        </w:rPr>
        <w:t xml:space="preserve"> </w:t>
      </w:r>
      <w:r w:rsidR="00BB316B">
        <w:rPr>
          <w:rFonts w:eastAsia="Calibri"/>
        </w:rPr>
        <w:t>spolu s kontrolami ďalších investičných akcií, vykonané v roku 2022.</w:t>
      </w:r>
    </w:p>
    <w:p w:rsidR="00EB1176" w:rsidRDefault="00CC617D" w:rsidP="00CC617D">
      <w:pPr>
        <w:jc w:val="both"/>
      </w:pPr>
      <w:r>
        <w:rPr>
          <w:rFonts w:eastAsia="Calibri"/>
          <w:kern w:val="0"/>
        </w:rPr>
        <w:t xml:space="preserve"> </w:t>
      </w:r>
    </w:p>
    <w:p w:rsidR="00EB1176" w:rsidRDefault="00EB1176" w:rsidP="00425766">
      <w:pPr>
        <w:jc w:val="both"/>
      </w:pPr>
    </w:p>
    <w:p w:rsidR="004D2E53" w:rsidRDefault="00D577C9" w:rsidP="004D2E53">
      <w:pPr>
        <w:jc w:val="both"/>
      </w:pPr>
      <w:r>
        <w:t xml:space="preserve">     Okrem</w:t>
      </w:r>
      <w:r w:rsidR="00F27B02">
        <w:t xml:space="preserve"> vykonania</w:t>
      </w:r>
      <w:r>
        <w:t xml:space="preserve"> konkrétn</w:t>
      </w:r>
      <w:r w:rsidR="00F27B02">
        <w:t>e zameraných</w:t>
      </w:r>
      <w:r>
        <w:t xml:space="preserve"> kontrol som plnila ďalšie úlohy v zmysle platných zákonných predpisov. Spolupracovala som s jednotlivými odbormi  mesta pri riešení niektorých odborných otázok alebo tém. Podľa ustanovenia § 10 ods. 1 zákona č. 54/2019 Z. z. som zodpovednou osobou pri ochrane oznamovateľov protispoločenskej činnosti.</w:t>
      </w:r>
      <w:r w:rsidR="004D2E53">
        <w:t xml:space="preserve"> Pravidelné kontroly plnenia uznesení mestského zastupiteľstva som pred konaním zasadnutia predkladala vedeniu mesta. </w:t>
      </w:r>
    </w:p>
    <w:p w:rsidR="00D577C9" w:rsidRDefault="00D577C9" w:rsidP="00D577C9">
      <w:pPr>
        <w:jc w:val="both"/>
      </w:pPr>
    </w:p>
    <w:p w:rsidR="00D577C9" w:rsidRDefault="00D577C9" w:rsidP="00D577C9">
      <w:pPr>
        <w:jc w:val="both"/>
      </w:pPr>
      <w:r>
        <w:t xml:space="preserve">     Mestskému zastupiteľstvu som  v priebehu roka 2021 predkladala:</w:t>
      </w:r>
    </w:p>
    <w:p w:rsidR="00D577C9" w:rsidRDefault="00D577C9" w:rsidP="00D577C9">
      <w:pPr>
        <w:pStyle w:val="Odsekzoznamu"/>
        <w:numPr>
          <w:ilvl w:val="0"/>
          <w:numId w:val="1"/>
        </w:numPr>
        <w:jc w:val="both"/>
      </w:pPr>
      <w:r>
        <w:t>správy o výsledkoch ukončených kontrol</w:t>
      </w:r>
    </w:p>
    <w:p w:rsidR="00D577C9" w:rsidRDefault="00D577C9" w:rsidP="00D577C9">
      <w:pPr>
        <w:pStyle w:val="Odsekzoznamu"/>
        <w:numPr>
          <w:ilvl w:val="0"/>
          <w:numId w:val="1"/>
        </w:numPr>
        <w:jc w:val="both"/>
      </w:pPr>
      <w:r>
        <w:t>správu o kontrolnej činnosti za rok 2020</w:t>
      </w:r>
    </w:p>
    <w:p w:rsidR="00D577C9" w:rsidRDefault="00D577C9" w:rsidP="00D577C9">
      <w:pPr>
        <w:pStyle w:val="Odsekzoznamu"/>
        <w:numPr>
          <w:ilvl w:val="0"/>
          <w:numId w:val="1"/>
        </w:numPr>
        <w:jc w:val="both"/>
      </w:pPr>
      <w:r>
        <w:t>odborné stanovisko k záverečnému účtu mesta za rok 2020</w:t>
      </w:r>
    </w:p>
    <w:p w:rsidR="00D577C9" w:rsidRDefault="00D577C9" w:rsidP="00D577C9">
      <w:pPr>
        <w:pStyle w:val="Odsekzoznamu"/>
        <w:numPr>
          <w:ilvl w:val="0"/>
          <w:numId w:val="1"/>
        </w:numPr>
        <w:jc w:val="both"/>
      </w:pPr>
      <w:r>
        <w:t>odborné stanovisko k návrhu rozpočtu mesta na rok 2022 s výhľadom na roky 2023, 2024</w:t>
      </w:r>
    </w:p>
    <w:p w:rsidR="00D577C9" w:rsidRPr="004F0910" w:rsidRDefault="00D577C9" w:rsidP="00D577C9">
      <w:pPr>
        <w:pStyle w:val="Odsekzoznamu"/>
        <w:numPr>
          <w:ilvl w:val="0"/>
          <w:numId w:val="1"/>
        </w:numPr>
        <w:jc w:val="both"/>
        <w:rPr>
          <w:rFonts w:ascii="TimesNewRomanPSMT" w:eastAsiaTheme="minorHAnsi" w:hAnsi="TimesNewRomanPSMT" w:cs="TimesNewRomanPSMT"/>
          <w:kern w:val="0"/>
          <w:lang w:eastAsia="en-US"/>
        </w:rPr>
      </w:pPr>
      <w:r>
        <w:t>návrh plánu kontrol na  II. polrok 2021 a I. polrok 2022</w:t>
      </w:r>
    </w:p>
    <w:p w:rsidR="00D577C9" w:rsidRDefault="00D577C9" w:rsidP="00425766">
      <w:pPr>
        <w:jc w:val="both"/>
      </w:pPr>
    </w:p>
    <w:p w:rsidR="00425766" w:rsidRDefault="00F63834" w:rsidP="00425766">
      <w:pPr>
        <w:jc w:val="both"/>
        <w:rPr>
          <w:rFonts w:ascii="Arial" w:hAnsi="Arial" w:cs="Arial"/>
          <w:color w:val="000000"/>
          <w:sz w:val="26"/>
          <w:szCs w:val="26"/>
        </w:rPr>
      </w:pPr>
      <w:r>
        <w:t xml:space="preserve">  </w:t>
      </w:r>
      <w:r w:rsidR="00425766">
        <w:rPr>
          <w:rFonts w:ascii="Arial" w:hAnsi="Arial" w:cs="Arial"/>
          <w:color w:val="000000"/>
          <w:sz w:val="26"/>
          <w:szCs w:val="26"/>
        </w:rPr>
        <w:t xml:space="preserve">    </w:t>
      </w:r>
    </w:p>
    <w:p w:rsidR="00425766" w:rsidRDefault="00425766" w:rsidP="00425766">
      <w:pPr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   </w:t>
      </w:r>
      <w:r w:rsidR="00CC617D">
        <w:rPr>
          <w:rFonts w:eastAsiaTheme="minorHAnsi"/>
          <w:kern w:val="0"/>
          <w:lang w:eastAsia="en-US"/>
        </w:rPr>
        <w:t>Zúčastňovala som sa školení real</w:t>
      </w:r>
      <w:r>
        <w:rPr>
          <w:rFonts w:eastAsiaTheme="minorHAnsi"/>
          <w:kern w:val="0"/>
          <w:lang w:eastAsia="en-US"/>
        </w:rPr>
        <w:t>izovaných RVC Poprad, aktivít združenia hlavných kontrolórov a zvyšovala som  svoju odbornosť prostredníctvom tematických školení aj individuálnou odbornou prípravou.</w:t>
      </w:r>
    </w:p>
    <w:p w:rsidR="00425766" w:rsidRDefault="00425766" w:rsidP="00425766">
      <w:pPr>
        <w:jc w:val="both"/>
        <w:rPr>
          <w:rFonts w:eastAsiaTheme="minorHAnsi"/>
          <w:kern w:val="0"/>
          <w:lang w:eastAsia="en-US"/>
        </w:rPr>
      </w:pPr>
    </w:p>
    <w:p w:rsidR="00425766" w:rsidRDefault="00425766" w:rsidP="00425766">
      <w:pPr>
        <w:jc w:val="both"/>
        <w:rPr>
          <w:rFonts w:eastAsiaTheme="minorHAnsi"/>
          <w:kern w:val="0"/>
          <w:lang w:eastAsia="en-US"/>
        </w:rPr>
      </w:pPr>
    </w:p>
    <w:p w:rsidR="004D2E53" w:rsidRDefault="004D2E53" w:rsidP="00425766">
      <w:pPr>
        <w:jc w:val="both"/>
        <w:rPr>
          <w:rFonts w:eastAsiaTheme="minorHAnsi"/>
          <w:kern w:val="0"/>
          <w:lang w:eastAsia="en-US"/>
        </w:rPr>
      </w:pPr>
    </w:p>
    <w:p w:rsidR="004D2E53" w:rsidRDefault="004D2E53" w:rsidP="00425766">
      <w:pPr>
        <w:jc w:val="both"/>
        <w:rPr>
          <w:rFonts w:eastAsiaTheme="minorHAnsi"/>
          <w:kern w:val="0"/>
          <w:lang w:eastAsia="en-US"/>
        </w:rPr>
      </w:pPr>
    </w:p>
    <w:p w:rsidR="00425766" w:rsidRDefault="00425766" w:rsidP="00425766">
      <w:pPr>
        <w:jc w:val="both"/>
        <w:rPr>
          <w:rFonts w:eastAsiaTheme="minorHAnsi"/>
          <w:kern w:val="0"/>
          <w:lang w:eastAsia="en-US"/>
        </w:rPr>
      </w:pPr>
    </w:p>
    <w:p w:rsidR="00425766" w:rsidRPr="006D29E6" w:rsidRDefault="00425766" w:rsidP="00425766">
      <w:pPr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V Spišskej Belej, </w:t>
      </w:r>
      <w:r w:rsidR="003966C1">
        <w:rPr>
          <w:rFonts w:eastAsiaTheme="minorHAnsi"/>
          <w:kern w:val="0"/>
          <w:lang w:eastAsia="en-US"/>
        </w:rPr>
        <w:t>19</w:t>
      </w:r>
      <w:r>
        <w:rPr>
          <w:rFonts w:eastAsiaTheme="minorHAnsi"/>
          <w:kern w:val="0"/>
          <w:lang w:eastAsia="en-US"/>
        </w:rPr>
        <w:t>. 1. 2022</w:t>
      </w:r>
    </w:p>
    <w:p w:rsidR="00425766" w:rsidRDefault="00425766" w:rsidP="00425766">
      <w:pPr>
        <w:jc w:val="both"/>
        <w:rPr>
          <w:rFonts w:eastAsiaTheme="minorHAnsi"/>
          <w:kern w:val="0"/>
          <w:lang w:eastAsia="en-US"/>
        </w:rPr>
      </w:pPr>
      <w:r w:rsidRPr="006D29E6">
        <w:rPr>
          <w:rFonts w:eastAsiaTheme="minorHAnsi"/>
          <w:kern w:val="0"/>
          <w:lang w:eastAsia="en-US"/>
        </w:rPr>
        <w:t xml:space="preserve">     </w:t>
      </w:r>
    </w:p>
    <w:p w:rsidR="00425766" w:rsidRDefault="00425766" w:rsidP="00425766">
      <w:pPr>
        <w:jc w:val="both"/>
        <w:rPr>
          <w:rFonts w:eastAsiaTheme="minorHAnsi"/>
          <w:kern w:val="0"/>
          <w:lang w:eastAsia="en-US"/>
        </w:rPr>
      </w:pPr>
    </w:p>
    <w:p w:rsidR="00425766" w:rsidRDefault="00425766" w:rsidP="00425766">
      <w:pPr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Ing. Slávka Tomalová</w:t>
      </w:r>
    </w:p>
    <w:p w:rsidR="00425766" w:rsidRPr="006D29E6" w:rsidRDefault="00425766" w:rsidP="00425766">
      <w:pPr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hlavná kontrolórka mesta Spišská Belá</w:t>
      </w:r>
    </w:p>
    <w:p w:rsidR="00425766" w:rsidRPr="0092161C" w:rsidRDefault="00425766" w:rsidP="00425766">
      <w:pPr>
        <w:jc w:val="both"/>
        <w:rPr>
          <w:rFonts w:eastAsiaTheme="minorHAnsi"/>
          <w:kern w:val="0"/>
          <w:lang w:eastAsia="en-US"/>
        </w:rPr>
      </w:pPr>
    </w:p>
    <w:p w:rsidR="00425766" w:rsidRDefault="00425766" w:rsidP="00425766">
      <w:pPr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 </w:t>
      </w:r>
    </w:p>
    <w:p w:rsidR="00425766" w:rsidRDefault="00425766" w:rsidP="00425766">
      <w:pPr>
        <w:jc w:val="both"/>
        <w:rPr>
          <w:rFonts w:eastAsiaTheme="minorHAnsi"/>
          <w:kern w:val="0"/>
          <w:lang w:eastAsia="en-US"/>
        </w:rPr>
      </w:pPr>
    </w:p>
    <w:p w:rsidR="00425766" w:rsidRDefault="00425766" w:rsidP="00425766">
      <w:pPr>
        <w:jc w:val="both"/>
        <w:rPr>
          <w:rFonts w:eastAsiaTheme="minorHAnsi"/>
          <w:kern w:val="0"/>
          <w:lang w:eastAsia="en-US"/>
        </w:rPr>
      </w:pPr>
    </w:p>
    <w:p w:rsidR="00425766" w:rsidRPr="00253A7B" w:rsidRDefault="00425766" w:rsidP="00425766">
      <w:pPr>
        <w:jc w:val="both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 xml:space="preserve">                                                           </w:t>
      </w:r>
    </w:p>
    <w:sectPr w:rsidR="00425766" w:rsidRPr="00253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B58A3"/>
    <w:multiLevelType w:val="hybridMultilevel"/>
    <w:tmpl w:val="649622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1914"/>
    <w:multiLevelType w:val="hybridMultilevel"/>
    <w:tmpl w:val="351CD2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1150A"/>
    <w:multiLevelType w:val="hybridMultilevel"/>
    <w:tmpl w:val="56D22B5E"/>
    <w:lvl w:ilvl="0" w:tplc="820476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EC7E16"/>
    <w:multiLevelType w:val="hybridMultilevel"/>
    <w:tmpl w:val="E816368E"/>
    <w:lvl w:ilvl="0" w:tplc="88BAAB8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F2F"/>
    <w:rsid w:val="0004162D"/>
    <w:rsid w:val="000722CD"/>
    <w:rsid w:val="000F28F1"/>
    <w:rsid w:val="00185118"/>
    <w:rsid w:val="00246403"/>
    <w:rsid w:val="00283438"/>
    <w:rsid w:val="00286196"/>
    <w:rsid w:val="003966C1"/>
    <w:rsid w:val="0039789F"/>
    <w:rsid w:val="00417F60"/>
    <w:rsid w:val="00425766"/>
    <w:rsid w:val="0048007B"/>
    <w:rsid w:val="004D2E53"/>
    <w:rsid w:val="00505ACC"/>
    <w:rsid w:val="00541D14"/>
    <w:rsid w:val="005958C7"/>
    <w:rsid w:val="005A0B8B"/>
    <w:rsid w:val="00654FA0"/>
    <w:rsid w:val="00774B70"/>
    <w:rsid w:val="007C74D9"/>
    <w:rsid w:val="00932D9B"/>
    <w:rsid w:val="00932E45"/>
    <w:rsid w:val="00942384"/>
    <w:rsid w:val="00943D8F"/>
    <w:rsid w:val="00966984"/>
    <w:rsid w:val="00996E6A"/>
    <w:rsid w:val="009A036E"/>
    <w:rsid w:val="009C5753"/>
    <w:rsid w:val="00A06FC7"/>
    <w:rsid w:val="00B10AEC"/>
    <w:rsid w:val="00B12C47"/>
    <w:rsid w:val="00B53DBE"/>
    <w:rsid w:val="00B96F2F"/>
    <w:rsid w:val="00BB316B"/>
    <w:rsid w:val="00C3420E"/>
    <w:rsid w:val="00C875D6"/>
    <w:rsid w:val="00C963FF"/>
    <w:rsid w:val="00CA3C5E"/>
    <w:rsid w:val="00CC4526"/>
    <w:rsid w:val="00CC617D"/>
    <w:rsid w:val="00CE1050"/>
    <w:rsid w:val="00CE16A8"/>
    <w:rsid w:val="00D458D4"/>
    <w:rsid w:val="00D577C9"/>
    <w:rsid w:val="00DA6A23"/>
    <w:rsid w:val="00DF4F31"/>
    <w:rsid w:val="00E77B66"/>
    <w:rsid w:val="00EB1176"/>
    <w:rsid w:val="00F27B02"/>
    <w:rsid w:val="00F63834"/>
    <w:rsid w:val="00F93B9C"/>
    <w:rsid w:val="00FD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93CCD-3844-43E2-B9BA-3B9D2BBA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576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25766"/>
    <w:pPr>
      <w:ind w:left="720"/>
      <w:contextualSpacing/>
    </w:pPr>
  </w:style>
  <w:style w:type="paragraph" w:customStyle="1" w:styleId="Standard">
    <w:name w:val="Standard"/>
    <w:rsid w:val="00425766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Normlnywebov">
    <w:name w:val="Normal (Web)"/>
    <w:basedOn w:val="Normlny"/>
    <w:uiPriority w:val="99"/>
    <w:unhideWhenUsed/>
    <w:rsid w:val="0042576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Siln">
    <w:name w:val="Strong"/>
    <w:basedOn w:val="Predvolenpsmoodseku"/>
    <w:uiPriority w:val="22"/>
    <w:qFormat/>
    <w:rsid w:val="00425766"/>
    <w:rPr>
      <w:b/>
      <w:bCs/>
    </w:rPr>
  </w:style>
  <w:style w:type="table" w:styleId="Mriekatabuky">
    <w:name w:val="Table Grid"/>
    <w:basedOn w:val="Normlnatabuka"/>
    <w:uiPriority w:val="39"/>
    <w:rsid w:val="00425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1908</Words>
  <Characters>10882</Characters>
  <Application>Microsoft Office Word</Application>
  <DocSecurity>0</DocSecurity>
  <Lines>90</Lines>
  <Paragraphs>25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TOMALOVÁ Slávka</dc:creator>
  <cp:keywords/>
  <dc:description/>
  <cp:lastModifiedBy>TOMALOVÁ Slávka</cp:lastModifiedBy>
  <cp:revision>24</cp:revision>
  <dcterms:created xsi:type="dcterms:W3CDTF">2022-01-17T09:52:00Z</dcterms:created>
  <dcterms:modified xsi:type="dcterms:W3CDTF">2022-01-21T09:05:00Z</dcterms:modified>
</cp:coreProperties>
</file>