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8.14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8.20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Poprad-Tatry( 7.30)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( 9.10)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10.37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10.38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Muszyna( 9.53)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(11.22)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15.07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16.14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16.20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Poprad-Tatry(15.27)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(17.11)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18.42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18.42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Muszyna(17.56)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(19.27)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19.41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19.42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22.17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22.18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PODOLÍNEC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b0fca696a5f441ac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