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4.50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4.51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6.20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6.21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15.38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15.38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18.42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19.16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19.17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22.48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22.48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KEŽMAROK ZASTÁVKA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4d7cd3089f5e4117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