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7F" w:rsidRDefault="00D7617F" w:rsidP="00D7617F">
      <w:pPr>
        <w:pStyle w:val="Standard"/>
        <w:jc w:val="center"/>
        <w:rPr>
          <w:rFonts w:ascii="Calibri" w:hAnsi="Calibri"/>
        </w:rPr>
      </w:pPr>
      <w:bookmarkStart w:id="0" w:name="_GoBack"/>
      <w:bookmarkEnd w:id="0"/>
      <w:r>
        <w:rPr>
          <w:b/>
          <w:bCs/>
          <w:sz w:val="28"/>
          <w:szCs w:val="28"/>
        </w:rPr>
        <w:t>S T A N O V I S K O</w:t>
      </w:r>
    </w:p>
    <w:p w:rsidR="00D7617F" w:rsidRDefault="00D7617F" w:rsidP="00D7617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hlavnej  kontrolórky mesta Spišská Belá k dodržaniu podmienok na prijatie návratných zdrojov financovania</w:t>
      </w:r>
    </w:p>
    <w:p w:rsidR="00D7617F" w:rsidRDefault="00D7617F" w:rsidP="00D7617F">
      <w:pPr>
        <w:pStyle w:val="Default"/>
        <w:rPr>
          <w:sz w:val="23"/>
          <w:szCs w:val="23"/>
        </w:rPr>
      </w:pPr>
    </w:p>
    <w:p w:rsidR="00D7617F" w:rsidRDefault="00D7617F" w:rsidP="00D7617F">
      <w:pPr>
        <w:pStyle w:val="Default"/>
        <w:jc w:val="both"/>
      </w:pPr>
    </w:p>
    <w:p w:rsidR="00D7617F" w:rsidRDefault="00D7617F" w:rsidP="00D7617F">
      <w:pPr>
        <w:pStyle w:val="Default"/>
        <w:jc w:val="both"/>
        <w:rPr>
          <w:b/>
          <w:bCs/>
          <w:sz w:val="23"/>
          <w:szCs w:val="23"/>
        </w:rPr>
      </w:pPr>
      <w:r>
        <w:t xml:space="preserve">      V zmysle § 17 ods. 14 zákona č. 583/2004 Z.z. o rozpočtových pravidlách územnej samosprávy a o zmene a doplnení niektorých zákonov v zn. n. p. (ďalej len zákon č. 583/2004 Z.z.)  hlavný kontrolór preveruje dodržanie podmienok na prijatie návratných zdrojov pred ich prijatím. Z uvedeného dôvodu predkladám stanovisko k návrhu na financovanie investičného zámeru  -  projekt historicko-kultú</w:t>
      </w:r>
      <w:r w:rsidR="00867EAF">
        <w:t xml:space="preserve">rno-prírodná cesta okolo Tatier, ktorý je v rámci programu Interreg V-A </w:t>
      </w:r>
      <w:r w:rsidR="00CD75FF">
        <w:t>P</w:t>
      </w:r>
      <w:r w:rsidR="00867EAF">
        <w:t>oľsko – Slovensko 2014 – 2020, spolufinancovaný Európskou úniou z prostriedkov Európskeho fondu regionálneho rozvoja.</w:t>
      </w:r>
      <w:r>
        <w:t xml:space="preserve"> </w:t>
      </w:r>
    </w:p>
    <w:p w:rsidR="00D7617F" w:rsidRDefault="00D7617F" w:rsidP="00D7617F">
      <w:pPr>
        <w:pStyle w:val="Default"/>
        <w:rPr>
          <w:b/>
          <w:bCs/>
          <w:sz w:val="23"/>
          <w:szCs w:val="23"/>
        </w:rPr>
      </w:pPr>
    </w:p>
    <w:p w:rsidR="00D7617F" w:rsidRDefault="00D7617F" w:rsidP="00D7617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Základné údaje o úvere </w:t>
      </w:r>
    </w:p>
    <w:p w:rsidR="00D7617F" w:rsidRDefault="00D7617F" w:rsidP="00D7617F">
      <w:pPr>
        <w:pStyle w:val="Default"/>
        <w:rPr>
          <w:sz w:val="23"/>
          <w:szCs w:val="23"/>
        </w:rPr>
      </w:pPr>
    </w:p>
    <w:p w:rsidR="00D7617F" w:rsidRDefault="00D7617F" w:rsidP="00D76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Druh úveru:  preklenovací úver </w:t>
      </w:r>
    </w:p>
    <w:p w:rsidR="00D7617F" w:rsidRDefault="00D7617F" w:rsidP="00D76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Výška úveru:  436 200,- eur</w:t>
      </w:r>
    </w:p>
    <w:p w:rsidR="00D7617F" w:rsidRDefault="00D7617F" w:rsidP="00D76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Účel úveru:  </w:t>
      </w:r>
      <w:r w:rsidR="003A647C">
        <w:rPr>
          <w:sz w:val="23"/>
          <w:szCs w:val="23"/>
        </w:rPr>
        <w:t xml:space="preserve"> </w:t>
      </w:r>
      <w:r>
        <w:rPr>
          <w:sz w:val="23"/>
          <w:szCs w:val="23"/>
        </w:rPr>
        <w:t>financovanie projektu Historicko-kultúrno-prírodná cesta okolo Tatier 3. etapa</w:t>
      </w:r>
    </w:p>
    <w:p w:rsidR="00D7617F" w:rsidRDefault="00D7617F" w:rsidP="00D761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Splatnosť úveru:   do 2 rokov </w:t>
      </w:r>
    </w:p>
    <w:p w:rsidR="00D7617F" w:rsidRDefault="00D7617F" w:rsidP="00D7617F">
      <w:pPr>
        <w:pStyle w:val="Default"/>
        <w:rPr>
          <w:sz w:val="23"/>
          <w:szCs w:val="23"/>
        </w:rPr>
      </w:pPr>
    </w:p>
    <w:p w:rsidR="00D7617F" w:rsidRDefault="00D7617F" w:rsidP="00D7617F">
      <w:pPr>
        <w:pStyle w:val="Default"/>
        <w:rPr>
          <w:b/>
          <w:bCs/>
          <w:sz w:val="23"/>
          <w:szCs w:val="23"/>
          <w:u w:val="single"/>
        </w:rPr>
      </w:pPr>
    </w:p>
    <w:p w:rsidR="00D7617F" w:rsidRDefault="00D7617F" w:rsidP="00D7617F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Zákonné ustanovenia pri používaní návratných zdrojov financovania </w:t>
      </w:r>
    </w:p>
    <w:p w:rsidR="00D7617F" w:rsidRDefault="00D7617F" w:rsidP="00D7617F">
      <w:pPr>
        <w:pStyle w:val="Default"/>
        <w:rPr>
          <w:sz w:val="23"/>
          <w:szCs w:val="23"/>
        </w:rPr>
      </w:pPr>
    </w:p>
    <w:p w:rsidR="00D7617F" w:rsidRDefault="00D7617F" w:rsidP="00D761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Podľa §11 ods. 4 písm. b) zákona SNR č. 369/1990 Zb. o obecnom zriadení v znení neskorších predpisov rozhodovať o prijatí úveru je vyhradené obecnému zastupiteľstvu. </w:t>
      </w:r>
    </w:p>
    <w:p w:rsidR="00D7617F" w:rsidRDefault="00D7617F" w:rsidP="00D7617F">
      <w:pPr>
        <w:pStyle w:val="Default"/>
        <w:rPr>
          <w:sz w:val="23"/>
          <w:szCs w:val="23"/>
        </w:rPr>
      </w:pPr>
    </w:p>
    <w:p w:rsidR="00D7617F" w:rsidRDefault="00D7617F" w:rsidP="00D761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Pravidlá používania  návratných  zdrojov financovania sú upravené v ustanovení § 17 zákona č. 583/2004 Z. z..  Podľa citovaného ustanovenia obec môže použiť návratné zdroje financovania len na úhradu kapitálových výdavkov. Obec môže vstupovať len do takých záväzkov vyplývajúcich z návratných zdrojov financovania, ktorých úhrada dlhodobo nenaruší vyrovnanosť bežného rozpočtu v nasledujúcich rokoch. </w:t>
      </w:r>
    </w:p>
    <w:p w:rsidR="00D7617F" w:rsidRDefault="00D7617F" w:rsidP="00D7617F">
      <w:pPr>
        <w:pStyle w:val="Default"/>
        <w:rPr>
          <w:sz w:val="23"/>
          <w:szCs w:val="23"/>
        </w:rPr>
      </w:pPr>
    </w:p>
    <w:p w:rsidR="00D7617F" w:rsidRDefault="00D7617F" w:rsidP="00D761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Podmienky na prijatie návratných zdrojov financovania sú upravené v ustanovení § 17 ods. 6 zákona č. 583/2004 Z. z.  Obec môže na plnenie svojich úloh prijať návratné zdroje financovania, len ak: </w:t>
      </w:r>
    </w:p>
    <w:p w:rsidR="00D7617F" w:rsidRDefault="00D7617F" w:rsidP="00D761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a/ celková suma dlhu obce alebo vyššieho územného celku neprekročí 60% skutočných bežných príjmov predchádzajúceho rozpočtového roka</w:t>
      </w:r>
      <w:r w:rsidR="00B451A7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</w:t>
      </w:r>
    </w:p>
    <w:p w:rsidR="00D7617F" w:rsidRDefault="00D7617F" w:rsidP="00D761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b/ suma splátok návratných </w:t>
      </w:r>
      <w:r>
        <w:t xml:space="preserve">zdrojov financovania vrátane úhrady výnosov a suma splátok záväzkov investičných dodávateľských úverov neprekročí v príslušnom rozpočtovom roku 25% skutočných bežných príjmov predchádzajúceho rozpočtového roka znížených o prostriedky poskytnuté v príslušnom rozpočtovom roku obci </w:t>
      </w:r>
      <w:r>
        <w:rPr>
          <w:shd w:val="clear" w:color="auto" w:fill="FFFFFF"/>
        </w:rPr>
        <w:t>z rozpočtu iného subjektu verejnej správy, prostriedky poskytnuté z Európskej únie a iné prostriedky zo zahraničia alebo prostriedky získané na základe osobitného predpisu</w:t>
      </w:r>
      <w:r>
        <w:t>.</w:t>
      </w:r>
      <w:r>
        <w:rPr>
          <w:sz w:val="23"/>
          <w:szCs w:val="23"/>
        </w:rPr>
        <w:t xml:space="preserve"> </w:t>
      </w:r>
    </w:p>
    <w:p w:rsidR="00D7617F" w:rsidRDefault="00D7617F" w:rsidP="00D761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Celkovou sumou dlhu obce sa podľa § 17 ods. 7 zákona č. 583/2004 Z. z. rozumie súhrn záväzkov vyplývajúcich zo splácania istín návratných zdrojov financovania ku koncu rozpočtového roka, záväzkov z investičných dodávateľských úverov a ručiteľských záväzkov obce. </w:t>
      </w:r>
    </w:p>
    <w:p w:rsidR="00D7617F" w:rsidRDefault="00D7617F" w:rsidP="00D761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Do celkovej sumy dlhu obce sa podľa ustanovenia § 17 ods. 8 zákona č. 583/2004 Z. z.  nezapočítavajú záväzky z pôžičky poskytnutej z Audiovizuálneho fondu, z úveru poskytnutého zo ŠFRB na výstavbu obecných nájomných bytov vo výške splátok úveru, ktorých úhrada je zahrnutá </w:t>
      </w:r>
    </w:p>
    <w:p w:rsidR="00280377" w:rsidRDefault="00D7617F" w:rsidP="00D7617F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v cene ročného nájomného za obecné nájomné byty. </w:t>
      </w:r>
      <w:r>
        <w:rPr>
          <w:b/>
          <w:sz w:val="23"/>
          <w:szCs w:val="23"/>
        </w:rPr>
        <w:t>Ďalej sa do celkovej sumy dlhu nezapočítavajú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záväzky</w:t>
      </w:r>
      <w:r>
        <w:rPr>
          <w:sz w:val="23"/>
          <w:szCs w:val="23"/>
        </w:rPr>
        <w:t xml:space="preserve"> z úveru poskytnutého z Environmentálneho fondu, </w:t>
      </w:r>
      <w:r>
        <w:rPr>
          <w:b/>
          <w:sz w:val="23"/>
          <w:szCs w:val="23"/>
        </w:rPr>
        <w:t xml:space="preserve">z návratných zdrojov </w:t>
      </w:r>
    </w:p>
    <w:p w:rsidR="00D7617F" w:rsidRDefault="00D7617F" w:rsidP="00D7617F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financovania prijatých na zabezpečenie predfinancovania realizácie spoločných programov SR a EÚ</w:t>
      </w:r>
      <w:r>
        <w:rPr>
          <w:sz w:val="23"/>
          <w:szCs w:val="23"/>
        </w:rPr>
        <w:t xml:space="preserve">, </w:t>
      </w:r>
      <w:r w:rsidRPr="003A647C">
        <w:rPr>
          <w:sz w:val="23"/>
          <w:szCs w:val="23"/>
        </w:rPr>
        <w:t>operačných programov spadajúcich do cieľa Európska územná spolupráca a</w:t>
      </w:r>
      <w:r>
        <w:rPr>
          <w:sz w:val="23"/>
          <w:szCs w:val="23"/>
        </w:rPr>
        <w:t xml:space="preserve"> programov financovaných na základe medzinárodných zmlúv o poskytnutí grantu uzatvorených medzi SR a inými štátmi najviac v sume nenávratného finančného príspevku poskytnutého na základe zmluvy uzatvorenej medzi obcou a orgánom podľa osobitného predpisu. Do sumy splátok sa nezapočítava suma ich jednorazového predčasného splatenia. </w:t>
      </w:r>
    </w:p>
    <w:p w:rsidR="00CD75FF" w:rsidRDefault="00CD75FF" w:rsidP="00D7617F">
      <w:pPr>
        <w:pStyle w:val="Default"/>
        <w:rPr>
          <w:b/>
          <w:bCs/>
          <w:sz w:val="23"/>
          <w:szCs w:val="23"/>
          <w:u w:val="single"/>
        </w:rPr>
      </w:pPr>
    </w:p>
    <w:p w:rsidR="00D7617F" w:rsidRDefault="00D7617F" w:rsidP="00CD75FF">
      <w:pPr>
        <w:pStyle w:val="Default"/>
        <w:spacing w:before="2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Údaje mesta Spišská Belá, z ktorých sa vychádza pri preverovaní dodržania podmienok na prijatie návratných zdrojov financovania: </w:t>
      </w:r>
    </w:p>
    <w:p w:rsidR="00CD75FF" w:rsidRDefault="00CD75FF" w:rsidP="00CD75FF">
      <w:pPr>
        <w:pStyle w:val="Default"/>
        <w:spacing w:before="240"/>
        <w:rPr>
          <w:b/>
          <w:bCs/>
          <w:sz w:val="23"/>
          <w:szCs w:val="23"/>
          <w:u w:val="single"/>
        </w:rPr>
      </w:pPr>
    </w:p>
    <w:p w:rsidR="00D7617F" w:rsidRPr="00D7617F" w:rsidRDefault="00D7617F" w:rsidP="00CD75FF">
      <w:pPr>
        <w:pStyle w:val="Default"/>
        <w:rPr>
          <w:sz w:val="23"/>
          <w:szCs w:val="23"/>
        </w:rPr>
      </w:pPr>
      <w:r w:rsidRPr="00D7617F">
        <w:rPr>
          <w:b/>
          <w:bCs/>
          <w:sz w:val="23"/>
          <w:szCs w:val="23"/>
        </w:rPr>
        <w:t xml:space="preserve">Celková suma dlhu </w:t>
      </w:r>
      <w:r w:rsidRPr="00D7617F">
        <w:rPr>
          <w:sz w:val="23"/>
          <w:szCs w:val="23"/>
        </w:rPr>
        <w:t xml:space="preserve">(bez ŠFRB) ku dňu 31. </w:t>
      </w:r>
      <w:r>
        <w:rPr>
          <w:sz w:val="23"/>
          <w:szCs w:val="23"/>
        </w:rPr>
        <w:t>8. 2019:</w:t>
      </w:r>
      <w:r w:rsidRPr="00D7617F">
        <w:rPr>
          <w:sz w:val="23"/>
          <w:szCs w:val="23"/>
        </w:rPr>
        <w:t xml:space="preserve">         </w:t>
      </w:r>
      <w:r>
        <w:rPr>
          <w:sz w:val="23"/>
          <w:szCs w:val="23"/>
        </w:rPr>
        <w:t>2 621 712,63</w:t>
      </w:r>
      <w:r w:rsidRPr="00D7617F">
        <w:rPr>
          <w:sz w:val="23"/>
          <w:szCs w:val="23"/>
        </w:rPr>
        <w:t xml:space="preserve"> eur   </w:t>
      </w:r>
      <w:r w:rsidRPr="00D7617F">
        <w:rPr>
          <w:b/>
          <w:bCs/>
          <w:sz w:val="23"/>
          <w:szCs w:val="23"/>
        </w:rPr>
        <w:t xml:space="preserve"> </w:t>
      </w:r>
    </w:p>
    <w:p w:rsidR="00D7617F" w:rsidRPr="00D7617F" w:rsidRDefault="00D7617F" w:rsidP="00CD75F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CD75FF">
      <w:pPr>
        <w:widowControl/>
        <w:suppressAutoHyphens w:val="0"/>
        <w:autoSpaceDE w:val="0"/>
        <w:adjustRightInd w:val="0"/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Skutočné bežné príjmy 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rozpočtového roka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201</w:t>
      </w: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8: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             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5 938 264,32 eur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Skutočné bežné príjmy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 rozpočtového roka 201</w:t>
      </w:r>
      <w:r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8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bez príjmov z rozpočtu iného subjektu verejnej správy</w:t>
      </w:r>
      <w:r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: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       </w:t>
      </w:r>
      <w:r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3 994 756,97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 eur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Celková suma ročných splátok 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na rok 201</w:t>
      </w:r>
      <w:r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9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                          </w:t>
      </w:r>
      <w:r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355 374,00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 eur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color w:val="000000"/>
          <w:kern w:val="0"/>
          <w:sz w:val="23"/>
          <w:szCs w:val="23"/>
          <w:u w:val="single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color w:val="000000"/>
          <w:kern w:val="0"/>
          <w:sz w:val="23"/>
          <w:szCs w:val="23"/>
          <w:u w:val="single"/>
          <w:lang w:val="sk-SK" w:eastAsia="en-US" w:bidi="ar-SA"/>
        </w:rPr>
      </w:pPr>
      <w:r w:rsidRPr="00D7617F">
        <w:rPr>
          <w:rFonts w:eastAsiaTheme="minorHAnsi" w:cs="Times New Roman"/>
          <w:b/>
          <w:color w:val="000000"/>
          <w:kern w:val="0"/>
          <w:sz w:val="23"/>
          <w:szCs w:val="23"/>
          <w:u w:val="single"/>
          <w:lang w:val="sk-SK" w:eastAsia="en-US" w:bidi="ar-SA"/>
        </w:rPr>
        <w:t xml:space="preserve">Overenie dodržania podmienok na prijatie návratných zdrojov financovania: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1. Výpočet % celkovej sumy dlhu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Skutočné bežné príjmy za predchádzajúci rok 201</w:t>
      </w: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8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predstavujú sumu     </w:t>
      </w: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5 938 264,32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eur,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z toho 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60%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je  </w:t>
      </w: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3 562 958,59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eur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.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Celková suma dlhu mesta k 3</w:t>
      </w: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1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. </w:t>
      </w: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8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. 201</w:t>
      </w: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9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je vo výške  </w:t>
      </w: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2 621 712,63 eur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Celková suma dlhu mesta k 3</w:t>
      </w:r>
      <w:r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1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 xml:space="preserve">. </w:t>
      </w:r>
      <w:r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8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. 201</w:t>
      </w:r>
      <w:r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9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 xml:space="preserve"> predstavuje  </w:t>
      </w:r>
      <w:r w:rsidRPr="00D7617F">
        <w:rPr>
          <w:rFonts w:eastAsiaTheme="minorHAnsi" w:cs="Times New Roman"/>
          <w:b/>
          <w:color w:val="000000"/>
          <w:kern w:val="0"/>
          <w:sz w:val="23"/>
          <w:szCs w:val="23"/>
          <w:u w:val="single"/>
          <w:lang w:val="sk-SK" w:eastAsia="en-US" w:bidi="ar-SA"/>
        </w:rPr>
        <w:t xml:space="preserve"> 44,1</w:t>
      </w:r>
      <w:r w:rsidR="00CD75FF">
        <w:rPr>
          <w:rFonts w:eastAsiaTheme="minorHAnsi" w:cs="Times New Roman"/>
          <w:b/>
          <w:color w:val="000000"/>
          <w:kern w:val="0"/>
          <w:sz w:val="23"/>
          <w:szCs w:val="23"/>
          <w:u w:val="single"/>
          <w:lang w:val="sk-SK" w:eastAsia="en-US" w:bidi="ar-SA"/>
        </w:rPr>
        <w:t>5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u w:val="single"/>
          <w:lang w:val="sk-SK" w:eastAsia="en-US" w:bidi="ar-SA"/>
        </w:rPr>
        <w:t>%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 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skutočných 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bežných príjmov predchádzajúceho rozpočtového roka.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Ukazovateľ úverovej rezervy k 3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1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. 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8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. 201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9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 -  (60% - </w:t>
      </w:r>
      <w:r w:rsidR="00280377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44,1</w:t>
      </w:r>
      <w:r w:rsidR="00CD75F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5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%)            </w:t>
      </w:r>
      <w:r w:rsidR="00280377" w:rsidRPr="003376CC">
        <w:rPr>
          <w:rFonts w:eastAsiaTheme="minorHAnsi" w:cs="Times New Roman"/>
          <w:b/>
          <w:color w:val="000000"/>
          <w:kern w:val="0"/>
          <w:sz w:val="23"/>
          <w:szCs w:val="23"/>
          <w:lang w:val="sk-SK" w:eastAsia="en-US" w:bidi="ar-SA"/>
        </w:rPr>
        <w:t xml:space="preserve">941 245,96 </w:t>
      </w:r>
      <w:r w:rsidRPr="00D7617F">
        <w:rPr>
          <w:rFonts w:eastAsiaTheme="minorHAnsi" w:cs="Times New Roman"/>
          <w:b/>
          <w:color w:val="000000"/>
          <w:kern w:val="0"/>
          <w:sz w:val="23"/>
          <w:szCs w:val="23"/>
          <w:lang w:val="sk-SK" w:eastAsia="en-US" w:bidi="ar-SA"/>
        </w:rPr>
        <w:t xml:space="preserve"> eur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2. Ukazovateľ splátok k 30. 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8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. 201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9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25% zo sumy </w:t>
      </w:r>
      <w:r w:rsidR="00280377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3 994 756,97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eur  =   </w:t>
      </w:r>
      <w:r w:rsidR="00280377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998 689,24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eur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</w:p>
    <w:p w:rsidR="00D7617F" w:rsidRPr="00D7617F" w:rsidRDefault="00280377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Suma  splátok  na rok 2019  je  355 374,00 eur</w:t>
      </w:r>
      <w:r w:rsidR="00D7617F"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EE482A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Suma  splátok  predstavuje  k 3</w:t>
      </w:r>
      <w:r w:rsidR="00280377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1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 xml:space="preserve">. </w:t>
      </w:r>
      <w:r w:rsidR="00280377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8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. 201</w:t>
      </w:r>
      <w:r w:rsidR="00280377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>9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  <w:t xml:space="preserve">   </w:t>
      </w:r>
      <w:r w:rsidR="00280377" w:rsidRPr="00280377">
        <w:rPr>
          <w:rFonts w:eastAsiaTheme="minorHAnsi" w:cs="Times New Roman"/>
          <w:b/>
          <w:color w:val="000000"/>
          <w:kern w:val="0"/>
          <w:sz w:val="23"/>
          <w:szCs w:val="23"/>
          <w:u w:val="single"/>
          <w:lang w:val="sk-SK" w:eastAsia="en-US" w:bidi="ar-SA"/>
        </w:rPr>
        <w:t xml:space="preserve">8,90 </w:t>
      </w:r>
      <w:r w:rsidRPr="00D7617F">
        <w:rPr>
          <w:rFonts w:eastAsiaTheme="minorHAnsi" w:cs="Times New Roman"/>
          <w:b/>
          <w:color w:val="000000"/>
          <w:kern w:val="0"/>
          <w:sz w:val="23"/>
          <w:szCs w:val="23"/>
          <w:u w:val="single"/>
          <w:lang w:val="sk-SK" w:eastAsia="en-US" w:bidi="ar-SA"/>
        </w:rPr>
        <w:t>%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 skutočných bežných príjmov predchádzajúceho rozpočtového roka bez 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 príjmov z rozpočtu iného subjektu verejnej správy</w:t>
      </w:r>
      <w:r w:rsidR="00EE482A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.</w:t>
      </w:r>
    </w:p>
    <w:p w:rsidR="00D7617F" w:rsidRDefault="00D7617F" w:rsidP="00EE482A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EE482A" w:rsidRPr="00D7617F" w:rsidRDefault="00EE482A" w:rsidP="00EE482A">
      <w:pPr>
        <w:widowControl/>
        <w:suppressAutoHyphens w:val="0"/>
        <w:autoSpaceDE w:val="0"/>
        <w:adjustRightInd w:val="0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</w:p>
    <w:p w:rsidR="00EE482A" w:rsidRPr="00EE482A" w:rsidRDefault="00D7617F" w:rsidP="00EE482A">
      <w:pPr>
        <w:widowControl/>
        <w:suppressAutoHyphens w:val="0"/>
        <w:autoSpaceDE w:val="0"/>
        <w:adjustRightInd w:val="0"/>
        <w:spacing w:after="240" w:line="360" w:lineRule="auto"/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Ukazovateľ splátkovej rezervy k 3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1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. 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8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. 201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9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 -  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 xml:space="preserve">(25% - </w:t>
      </w:r>
      <w:r w:rsidR="00280377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8,90</w:t>
      </w:r>
      <w:r w:rsidRPr="00D7617F">
        <w:rPr>
          <w:rFonts w:eastAsiaTheme="minorHAnsi" w:cs="Times New Roman"/>
          <w:bCs/>
          <w:color w:val="000000"/>
          <w:kern w:val="0"/>
          <w:sz w:val="23"/>
          <w:szCs w:val="23"/>
          <w:lang w:val="sk-SK" w:eastAsia="en-US" w:bidi="ar-SA"/>
        </w:rPr>
        <w:t>%)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            </w:t>
      </w:r>
      <w:r w:rsidR="00280377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643 315,</w:t>
      </w:r>
      <w:r w:rsidR="00280377" w:rsidRPr="003376CC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24  </w:t>
      </w: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>eur</w:t>
      </w:r>
    </w:p>
    <w:p w:rsidR="00EE482A" w:rsidRDefault="00D7617F" w:rsidP="00EE482A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                                                                          2</w:t>
      </w:r>
    </w:p>
    <w:p w:rsidR="00D7617F" w:rsidRPr="00D7617F" w:rsidRDefault="00D7617F" w:rsidP="009301A8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lastRenderedPageBreak/>
        <w:t xml:space="preserve">      V    tejto  súvislosti  </w:t>
      </w:r>
      <w:r w:rsidR="009301A8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je </w:t>
      </w:r>
      <w:r w:rsidR="009301A8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potrebné  poznamenať, </w:t>
      </w:r>
      <w:r w:rsidR="009301A8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že    hlavný kontrolór  v  súlade so zákonom </w:t>
      </w:r>
    </w:p>
    <w:p w:rsidR="00D7617F" w:rsidRPr="00D7617F" w:rsidRDefault="00D7617F" w:rsidP="009301A8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č. 583/2004 Z.</w:t>
      </w:r>
      <w:r w:rsidR="00280377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z. skúma  iba   dodržanie   podmienok na prijatie návratných zdrojov financovania, v tomto stanovisku neskúma objem, rentabilitu úveru, charakter a skladbu investičných akcií, ich rozpočtový náklad, návratnosť a pod. </w:t>
      </w:r>
    </w:p>
    <w:p w:rsidR="00D7617F" w:rsidRPr="00D7617F" w:rsidRDefault="00D7617F" w:rsidP="009301A8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u w:val="single"/>
          <w:lang w:val="sk-SK" w:eastAsia="en-US" w:bidi="ar-SA"/>
        </w:rPr>
      </w:pPr>
      <w:r w:rsidRPr="00D7617F">
        <w:rPr>
          <w:rFonts w:eastAsiaTheme="minorHAnsi" w:cs="Times New Roman"/>
          <w:b/>
          <w:bCs/>
          <w:color w:val="000000"/>
          <w:kern w:val="0"/>
          <w:sz w:val="23"/>
          <w:szCs w:val="23"/>
          <w:u w:val="single"/>
          <w:lang w:val="sk-SK" w:eastAsia="en-US" w:bidi="ar-SA"/>
        </w:rPr>
        <w:t xml:space="preserve">Záverečné stanovisko hlavnej kontrolórky k prijatiu  návratných zdrojov financovania: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    Na základe predložených údajov a výpočtov konštatujem, že mesto Spišská Belá spĺňa podmienky uvedené v §</w:t>
      </w:r>
      <w:r w:rsidR="00D57E24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17 ods. 6 zákona č. 583/2004 Z.</w:t>
      </w:r>
      <w:r w:rsidR="005E510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z. a v roku 201</w:t>
      </w:r>
      <w:r w:rsidR="005E510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9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môže návratné zdroje financovania vo výške  </w:t>
      </w:r>
      <w:r w:rsidR="005E510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436 200</w:t>
      </w: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,- eur prijať.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8F6D14" w:rsidRPr="00D7617F" w:rsidRDefault="008F6D14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jc w:val="both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V Spišskej Belej, dňa </w:t>
      </w:r>
      <w:r w:rsidR="005E510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>23. 9. 2019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</w:t>
      </w:r>
    </w:p>
    <w:p w:rsidR="00D7617F" w:rsidRPr="00D7617F" w:rsidRDefault="00D7617F" w:rsidP="00D7617F">
      <w:pPr>
        <w:widowControl/>
        <w:suppressAutoHyphens w:val="0"/>
        <w:autoSpaceDE w:val="0"/>
        <w:adjustRightInd w:val="0"/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</w:pPr>
      <w:r w:rsidRPr="00D7617F">
        <w:rPr>
          <w:rFonts w:eastAsiaTheme="minorHAnsi" w:cs="Times New Roman"/>
          <w:color w:val="000000"/>
          <w:kern w:val="0"/>
          <w:sz w:val="23"/>
          <w:szCs w:val="23"/>
          <w:lang w:val="sk-SK" w:eastAsia="en-US" w:bidi="ar-SA"/>
        </w:rPr>
        <w:t xml:space="preserve">                                                                                                 Ing. Slávka Tomalová </w:t>
      </w:r>
    </w:p>
    <w:p w:rsidR="00D7617F" w:rsidRPr="00D7617F" w:rsidRDefault="00D7617F" w:rsidP="00D7617F">
      <w:pPr>
        <w:textAlignment w:val="baseline"/>
        <w:rPr>
          <w:sz w:val="23"/>
          <w:szCs w:val="23"/>
        </w:rPr>
      </w:pPr>
      <w:r w:rsidRPr="00D7617F">
        <w:rPr>
          <w:sz w:val="23"/>
          <w:szCs w:val="23"/>
          <w:lang w:val="sk-SK"/>
        </w:rPr>
        <w:t xml:space="preserve">                                                                                         </w:t>
      </w:r>
      <w:r w:rsidRPr="00D7617F">
        <w:rPr>
          <w:sz w:val="23"/>
          <w:szCs w:val="23"/>
        </w:rPr>
        <w:t xml:space="preserve">hlavná kontrolórka </w:t>
      </w:r>
      <w:r w:rsidR="008F6D14">
        <w:rPr>
          <w:sz w:val="23"/>
          <w:szCs w:val="23"/>
        </w:rPr>
        <w:t>mesta Spišská Belá</w:t>
      </w: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Default="00D7617F" w:rsidP="00D7617F">
      <w:pPr>
        <w:textAlignment w:val="baseline"/>
        <w:rPr>
          <w:sz w:val="23"/>
          <w:szCs w:val="23"/>
        </w:rPr>
      </w:pPr>
    </w:p>
    <w:p w:rsidR="002E6888" w:rsidRPr="00D7617F" w:rsidRDefault="002E6888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Default="00D7617F" w:rsidP="00D7617F">
      <w:pPr>
        <w:textAlignment w:val="baseline"/>
        <w:rPr>
          <w:sz w:val="23"/>
          <w:szCs w:val="23"/>
        </w:rPr>
      </w:pPr>
    </w:p>
    <w:p w:rsidR="005E510F" w:rsidRDefault="005E510F" w:rsidP="00D7617F">
      <w:pPr>
        <w:textAlignment w:val="baseline"/>
        <w:rPr>
          <w:sz w:val="23"/>
          <w:szCs w:val="23"/>
        </w:rPr>
      </w:pPr>
    </w:p>
    <w:p w:rsidR="005E510F" w:rsidRPr="00D7617F" w:rsidRDefault="005E510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D7617F" w:rsidRPr="00D7617F" w:rsidRDefault="00D7617F" w:rsidP="00D7617F">
      <w:pPr>
        <w:textAlignment w:val="baseline"/>
        <w:rPr>
          <w:sz w:val="23"/>
          <w:szCs w:val="23"/>
        </w:rPr>
      </w:pPr>
    </w:p>
    <w:p w:rsidR="00F43896" w:rsidRPr="005E510F" w:rsidRDefault="00D7617F" w:rsidP="005E510F">
      <w:pPr>
        <w:textAlignment w:val="baseline"/>
        <w:rPr>
          <w:sz w:val="23"/>
          <w:szCs w:val="23"/>
        </w:rPr>
      </w:pPr>
      <w:r w:rsidRPr="00D7617F">
        <w:rPr>
          <w:sz w:val="23"/>
          <w:szCs w:val="23"/>
        </w:rPr>
        <w:t xml:space="preserve">                                                                     3</w:t>
      </w:r>
    </w:p>
    <w:sectPr w:rsidR="00F43896" w:rsidRPr="005E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36"/>
    <w:rsid w:val="000B48A3"/>
    <w:rsid w:val="00280377"/>
    <w:rsid w:val="002E6888"/>
    <w:rsid w:val="003376CC"/>
    <w:rsid w:val="003A647C"/>
    <w:rsid w:val="003D24DA"/>
    <w:rsid w:val="005E510F"/>
    <w:rsid w:val="00867EAF"/>
    <w:rsid w:val="008A6CEF"/>
    <w:rsid w:val="008F6D14"/>
    <w:rsid w:val="009301A8"/>
    <w:rsid w:val="00B22E36"/>
    <w:rsid w:val="00B451A7"/>
    <w:rsid w:val="00CD75FF"/>
    <w:rsid w:val="00D57E24"/>
    <w:rsid w:val="00D7617F"/>
    <w:rsid w:val="00EE482A"/>
    <w:rsid w:val="00F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0B21-C39C-49B2-AD21-6FD858E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1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761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7CFF-8B80-4D6A-A9A5-DAE02892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NEUPAUEROVÁ Jana</cp:lastModifiedBy>
  <cp:revision>2</cp:revision>
  <dcterms:created xsi:type="dcterms:W3CDTF">2019-10-08T12:28:00Z</dcterms:created>
  <dcterms:modified xsi:type="dcterms:W3CDTF">2019-10-08T12:28:00Z</dcterms:modified>
</cp:coreProperties>
</file>